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9607d6k.htm"/>
      <w:bookmarkStart w:id="1" w:name="ksd16960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the Company provided updates across its achondroplasia programs. </w:t>
      </w:r>
    </w:p>
    <w:p>
      <w:pPr>
        <w:pStyle w:val="TextBody"/>
        <w:bidi w:val="0"/>
        <w:spacing w:before="360" w:after="0"/>
        <w:jc w:val="left"/>
        <w:rPr>
          <w:rFonts w:ascii="Times New Roman" w:hAnsi="Times New Roman"/>
          <w:b/>
          <w:sz w:val="20"/>
        </w:rPr>
      </w:pPr>
      <w:r>
        <w:rPr>
          <w:rFonts w:ascii="Times New Roman" w:hAnsi="Times New Roman"/>
          <w:b/>
          <w:sz w:val="20"/>
        </w:rPr>
        <w:t xml:space="preserve">Combination Therapy Update </w:t>
      </w:r>
    </w:p>
    <w:p>
      <w:pPr>
        <w:pStyle w:val="TextBody"/>
        <w:bidi w:val="0"/>
        <w:spacing w:before="120" w:after="0"/>
        <w:jc w:val="left"/>
        <w:rPr>
          <w:rFonts w:ascii="Times New Roman" w:hAnsi="Times New Roman"/>
          <w:i/>
          <w:sz w:val="20"/>
        </w:rPr>
      </w:pPr>
      <w:r>
        <w:rPr>
          <w:rFonts w:ascii="Times New Roman" w:hAnsi="Times New Roman"/>
          <w:i/>
          <w:sz w:val="20"/>
        </w:rPr>
        <w:t xml:space="preserve">(TransCon CNP + TransCon hGH; navepegritide + lonapegsomatropin) </w:t>
      </w:r>
    </w:p>
    <w:p>
      <w:pPr>
        <w:pStyle w:val="TextBody"/>
        <w:bidi w:val="0"/>
        <w:spacing w:before="120" w:after="0"/>
        <w:jc w:val="left"/>
        <w:rPr>
          <w:rFonts w:ascii="Times New Roman" w:hAnsi="Times New Roman"/>
          <w:sz w:val="20"/>
        </w:rPr>
      </w:pPr>
      <w:r>
        <w:rPr>
          <w:rFonts w:ascii="Times New Roman" w:hAnsi="Times New Roman"/>
          <w:sz w:val="20"/>
        </w:rPr>
        <w:t xml:space="preserve">Treatment with the combination of once-weekly TransCon CNP and once-weekly TransCon hGH continued to demonstrate durable growth in children with achondroplasia, with a mean annualized growth velocity (AGV) meeting or exceeding the 97th percentile of children of average stature, without compromising safety or tolerability at Week 78. </w:t>
      </w:r>
    </w:p>
    <w:p>
      <w:pPr>
        <w:pStyle w:val="TextBody"/>
        <w:bidi w:val="0"/>
        <w:spacing w:before="360" w:after="0"/>
        <w:jc w:val="left"/>
        <w:rPr>
          <w:rFonts w:ascii="Times New Roman" w:hAnsi="Times New Roman"/>
          <w:b/>
          <w:sz w:val="20"/>
        </w:rPr>
      </w:pPr>
      <w:r>
        <w:rPr>
          <w:rFonts w:ascii="Times New Roman" w:hAnsi="Times New Roman"/>
          <w:b/>
          <w:sz w:val="20"/>
        </w:rPr>
        <w:t xml:space="preserve">Highlights of the Topline Week 78 COACH Trial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Consistent with Week 26 and Week 52 results, mean AGV for children treated with combination therapy through Week 78 remained at or above the 97th percentile AGV of children of average stature, with changes over time following age-related growth patterns, and sustained increases in ACH-specific height Z-score, indicating a tripling of efficacy compared to TransCon CNP monotherapy.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TransCon CNP treatment-naïve cohort, mean AGV at Week 78 was 7.73 cm/year, with an increase in mean ACH-specific height Z-score of +1.29, increasing from 0.46 to 1.75 over 78 weeks.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TransCon CNP-experienced cohort (mean treatment duration with TransCon CNP of 2.56 years), mean AGV at Week 78 was 7.67 cm/year, with an improvement in mean ACH-specific height Z-score of +1.10, increasing from 1.28 to 2.38 over 78 weeks.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Children treated with combination therapy demonstrated continued improvements in body proportionality through Week 78, aligning with the increase in linear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Safety and tolerability were consistent with those observed for TransCon CNP and TransCon hGH monotherapies. Combination therapy was generally well-tolerated, with a low incidence of injection site reactions and generally mild treatment-emergent adverse events (TEAEs).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date, 100% of the 21 enrolled children completed 78 weeks of treatment and remain on therapy in the COACH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data from Week 78 of COACH to be presented at an upcoming medical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COACH Trial Design </w:t>
      </w:r>
    </w:p>
    <w:p>
      <w:pPr>
        <w:pStyle w:val="TextBody"/>
        <w:bidi w:val="0"/>
        <w:spacing w:before="120" w:after="0"/>
        <w:jc w:val="left"/>
        <w:rPr>
          <w:rFonts w:ascii="Times New Roman" w:hAnsi="Times New Roman"/>
          <w:sz w:val="20"/>
        </w:rPr>
      </w:pPr>
      <w:r>
        <w:rPr>
          <w:rFonts w:ascii="Times New Roman" w:hAnsi="Times New Roman"/>
          <w:sz w:val="20"/>
        </w:rPr>
        <w:t xml:space="preserve">COACH is an ongoing prospective Phase 2 open-label trial to investigate the efficacy, safety, and tolerability of combined treatment with once-weekly TransCon CNP at 100 µg/kg/week and once-weekly TransCon hGH at a starting dose of 0.30 mg/kg/week (“combination therapy”) in children with achondroplasia aged 2 to 11 years. The trial included a cohort of TransCon CNP treatment-naïve children (N=12, mean age 5.26 years) and a cohort of previously TransCon CNP-treated children (N=9, mean age 8.32 years), who had received TransCon CNP (100 µg/kg/week) for a mean of 2.56 years in clinical trials. The trial population is representative of children with achondroplasia and the prior treatment benefits of TransCon CNP monotherapy.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Monotherapy Update </w:t>
      </w:r>
    </w:p>
    <w:p>
      <w:pPr>
        <w:pStyle w:val="TextBody"/>
        <w:bidi w:val="0"/>
        <w:spacing w:before="120" w:after="0"/>
        <w:jc w:val="left"/>
        <w:rPr>
          <w:rFonts w:ascii="Times New Roman" w:hAnsi="Times New Roman"/>
          <w:i/>
          <w:sz w:val="20"/>
        </w:rPr>
      </w:pPr>
      <w:r>
        <w:rPr>
          <w:rFonts w:ascii="Times New Roman" w:hAnsi="Times New Roman"/>
          <w:i/>
          <w:sz w:val="20"/>
        </w:rPr>
        <w:t xml:space="preserve">(TransCon CNP; navepegritide) </w:t>
      </w:r>
    </w:p>
    <w:p>
      <w:pPr>
        <w:pStyle w:val="TextBody"/>
        <w:bidi w:val="0"/>
        <w:spacing w:before="120" w:after="0"/>
        <w:jc w:val="left"/>
        <w:rPr>
          <w:rFonts w:ascii="Times New Roman" w:hAnsi="Times New Roman"/>
          <w:sz w:val="20"/>
        </w:rPr>
      </w:pPr>
      <w:r>
        <w:rPr>
          <w:rFonts w:ascii="Times New Roman" w:hAnsi="Times New Roman"/>
          <w:sz w:val="20"/>
        </w:rPr>
        <w:t xml:space="preserve">In completed and ongoing clinical trials of children with achondroplasia, treatment with once-weekly TransCon CNP monotherapy demonstrated durable improvements in height, as well as benefits beyond height, and a safety and tolerability profile similar to placebo, including a low rate of injection site reactions, consistent with the incidence rate reported in the FDA label.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Week 104 data from the pivotal ApproaCH Trial of TransCon CNP at 100 µg/kg once-weekly in children with achondroplasia aged 2 to 11 years demonstrated: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Durable improvements in height as measured by annualized growth velocity (AGV) and height Z-scores over 104 weeks for those randomized to TransCon CNP, and significant improvement for those switching from placebo to TransCon CNP at Week 52.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Benefits beyond height with TransCon CNP monotherapy, including improvements in lower limb alignment and body proportionality, as demonstrated by improved tibial-femoral angle and upper-to-lower body segment ratio, respectively, with durable treatment effect over 104 weeks for those randomized to TransCon CNP, and substantial improvement at Week 104 for those switching from placebo to TransCon CNP at Week 52.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two years of treatment, TransCon CNP was generally well-tolerated. Most adverse events in TransCon CNP-treated children were mild or moderate, with none leading to treatment discontinuation or withdrawal from the trial. There were no occurrences of symptomatic hypotension, and the overall rate of injection-site reactions, all of which were mild, was 0.35 per person-year of exposure.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Completed target enrollment for pivotal reACHin Trial, supporting planned regulatory filings for infants 0 to &lt;2 years of age with achondroplasia.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date, 96% of the 140 children enrolled in the AttaCH long-term open-label extension trial remain on TransCon CNP monotherapy, with up to nearly 6 years of treatment, or are in the ongoing COACH combination therapy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AttaCH Trial, following children to near-final adult height, continues to enroll children who complete TransCon CNP monotherapy trials (ACcomplisH, ApproaCH, teACH, and reACHin).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ongoing pivotal reACHin Trial is evaluating the safety, tolerability, and efficacy of TransCon CNP in infants with achondroplasia (aged 0 to &lt;2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ongoing pivotal teACH Trial is evaluating the safety, tolerability, and efficacy of TransCon CNP in adolescents with achondroplasia (aged 12 to &lt;18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European Union, a decision is anticipated in the fourth quarter of 2026 for the Marketing Authorisation Application for TransCon CNP as a monotherapy for children with achondroplasia.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YUVIWEL U.S. Launch Update through June 30, 2026 </w:t>
      </w:r>
    </w:p>
    <w:p>
      <w:pPr>
        <w:pStyle w:val="TextBody"/>
        <w:bidi w:val="0"/>
        <w:spacing w:before="120" w:after="0"/>
        <w:jc w:val="left"/>
        <w:rPr>
          <w:rFonts w:ascii="Times New Roman" w:hAnsi="Times New Roman"/>
          <w:i/>
          <w:sz w:val="20"/>
        </w:rPr>
      </w:pPr>
      <w:r>
        <w:rPr>
          <w:rFonts w:ascii="Times New Roman" w:hAnsi="Times New Roman"/>
          <w:i/>
          <w:sz w:val="20"/>
        </w:rPr>
        <w:t xml:space="preserve">(navepegritide; developed as TransCon CNP)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170 unique patient enrollments by approximately 90 prescribing healthcare providers, with more than 65% approved for reimbursement, through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enrollments through this date reflect patients new to YUVIWEL therapy.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that involve substantial risks and uncertainties. All statements, other than statements of historical facts, included in this report regarding Ascendis’ future operations, plans and objectives of management are forward-looking statements within the meaning of Section 27A of the Securities Act of 1933, as amended, and Section 21E of the Securities Exchange Act of 1934, as amended. Examples of such statements include, but are not limited to, statements relating to (i) planned regulatory filings for infants 0 to &lt;2 years of age with achondroplasia, (ii) the anticipated timing of a regulatory decision for the Marketing Authorisation Application for TransCon CNP as a monotherapy for children with achondroplasia, (iii) the potential benefits of TransCon CNP monotherapy and combination therapy with TransCon hGH, (iv) Ascendis’ clinical development activities, including the teACH, reACHin, and AttaCH trials, (v) Ascendis’ commercialization activities and efforts to provide access to YUVIWEL, and (vi) Ascendis’ ability to apply its TransCon technology platform to develop new therapies with best-in-class potential.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without limitation: dependence on third-party manufacturers, distributors, and service providers for Ascendis’ products and product candidates; risks related to regulatory review and approval, including the possibility of delays, requests for additional data or analyses, restrictions or limitations on use, approval with labeling that is more limited than expected, or failure to obtain approval in the United States, European Union, or other jurisdictions; clinical development risks, including that results from ongoing or future trials may not confirm earlier data; unforeseen safety or efficacy findings in development programs or on-market products; manufacturing, supply chain, quality, or logistics issues that could delay development or commercialization; unforeseen expenses related to commercialization of any approved Ascendis products; unforeseen research and development or selling, general and administrative expenses and other costs impacting Ascendis’ business generally; market acceptance, pricing, and reimbursement challenges, including payer coverage decisions and health technology assessments; competitive developments, including new or improved therapies; intellectual property protection, freedom-to-operate, and litigation risks; Ascendis’ ability to obtain additional funding, if needed, to support its business activities; cybersecurity, data privacy, and information technology disruptions; and the impact of international economic, political, legal, compliance, public health, and business factors, including tariffs, trade policies, currency fluctuations, and geopolitical events.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11, 2026,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4"/>
        <w:gridCol w:w="101"/>
        <w:gridCol w:w="408"/>
        <w:gridCol w:w="101"/>
        <w:gridCol w:w="305"/>
        <w:gridCol w:w="101"/>
        <w:gridCol w:w="4595"/>
      </w:tblGrid>
      <w:tr>
        <w:trPr/>
        <w:tc>
          <w:tcPr>
            <w:tcW w:w="459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left"/>
              <w:rPr/>
            </w:pPr>
            <w:r>
              <w:rPr/>
              <w:t>Ascendis Pharma A/S</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6" w:type="dxa"/>
            <w:gridSpan w:val="2"/>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pPr>
            <w:r>
              <w:rPr/>
              <w:t>Date: August 6, 2026</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Michael Wolff Jensen</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Executive Vice President, Chief Legal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1655</Words>
  <Characters>9828</Characters>
  <CharactersWithSpaces>11544</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