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 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t>INCORPORATION BY REFERENCE</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333- 228576,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On October 26, 2026, the Company announced new data demonstrating early, sustained, and clinically meaningful improvements in kidney function in adults with hypoparathyroidism treated with TransCon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PTH (palopegteriparatide) for up to 5 years in the Company’s Phase 2 PaTH Forward and Phase 3 PaTHway trials. Results from the pooled analysis were shared in a poster presented by nephrologist Elvira Gosmanova, M.D., Professor of Medicine at Albany Medical College, during Kidney Week 2026, the annual meeting of the American Society of Nephrology.</w:t>
      </w:r>
    </w:p>
    <w:p>
      <w:pPr>
        <w:spacing w:after="0" w:line="198"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Historically, management of hypoparathyroidism with conventional therapy consisting of active vitamin D and calcium with the aim of raising serum calcium to the lower half or just below the reference range to alleviate symptoms of hypocalcemia and avoid hypercalciuria, but did not address the missing parathyroid hormone (PTH).</w:t>
      </w:r>
      <w:r>
        <w:rPr>
          <w:rFonts w:ascii="Times New Roman" w:cs="Times New Roman" w:eastAsia="Times New Roman" w:hAnsi="Times New Roman"/>
          <w:sz w:val="26"/>
          <w:szCs w:val="26"/>
          <w:color w:val="auto"/>
          <w:vertAlign w:val="superscript"/>
        </w:rPr>
        <w:t>i</w:t>
      </w:r>
      <w:r>
        <w:rPr>
          <w:rFonts w:ascii="Times New Roman" w:cs="Times New Roman" w:eastAsia="Times New Roman" w:hAnsi="Times New Roman"/>
          <w:sz w:val="18"/>
          <w:szCs w:val="18"/>
          <w:color w:val="auto"/>
        </w:rPr>
        <w:t xml:space="preserve"> Today, in contrast, it is possible to provide or restore the full range of effects of PTH that are missing in hypoparathyroidism with TransCon PTH, which provides active PTH within the physiological range for 24 hours/day. The active PTH released from TransCon PTH includes the amino acid sequence identical to the region of endogenous PTH required for receptor activation and enables simultaneous improvements across multiple key clinical and quality-of-life measures.</w:t>
      </w:r>
      <w:r>
        <w:rPr>
          <w:rFonts w:ascii="Times New Roman" w:cs="Times New Roman" w:eastAsia="Times New Roman" w:hAnsi="Times New Roman"/>
          <w:sz w:val="26"/>
          <w:szCs w:val="26"/>
          <w:color w:val="auto"/>
          <w:vertAlign w:val="superscript"/>
        </w:rPr>
        <w:t>ii,iii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Highlights</w:t>
      </w:r>
    </w:p>
    <w:p>
      <w:pPr>
        <w:spacing w:after="0" w:line="135" w:lineRule="exact"/>
        <w:rPr>
          <w:sz w:val="20"/>
          <w:szCs w:val="20"/>
          <w:color w:val="auto"/>
        </w:rPr>
      </w:pPr>
    </w:p>
    <w:p>
      <w:pPr>
        <w:ind w:left="420" w:right="680" w:hanging="316"/>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mean estimated glomerular filtration rate (eGFR) from baseline were statistically significant across patients from Week 26 of treatment through trial completion (p&lt; 0.0001).</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improvement in eGFR for all patients from baseline to Week 26 was 7.2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and to Week 52 was 9.6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ind w:left="960" w:right="280" w:hanging="424"/>
        <w:spacing w:after="0" w:line="222"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Week 52, clinically meaningful improvements in eGFR (≥ 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iv,v</w:t>
      </w:r>
      <w:r>
        <w:rPr>
          <w:rFonts w:ascii="Times New Roman" w:cs="Times New Roman" w:eastAsia="Times New Roman" w:hAnsi="Times New Roman"/>
          <w:sz w:val="18"/>
          <w:szCs w:val="18"/>
          <w:color w:val="auto"/>
        </w:rPr>
        <w:t xml:space="preserve"> were observed in 68.9% of patients, and 49.6% of patients achieved an increase in eGFR of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10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eGFR remained stable through the end of the trials.</w:t>
      </w:r>
    </w:p>
    <w:p>
      <w:pPr>
        <w:ind w:left="960" w:right="40" w:hanging="424"/>
        <w:spacing w:after="0" w:line="222"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Week 52 to Week 266, the mean eGFR slope was 0.28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indicating clinically meaningful early improvements in eGFR sustained through up to 5 years, in contrast to the expected typical age-related decline in eGFR in adults.</w:t>
      </w:r>
      <w:r>
        <w:rPr>
          <w:rFonts w:ascii="Times New Roman" w:cs="Times New Roman" w:eastAsia="Times New Roman" w:hAnsi="Times New Roman"/>
          <w:sz w:val="26"/>
          <w:szCs w:val="26"/>
          <w:color w:val="auto"/>
          <w:vertAlign w:val="superscript"/>
        </w:rPr>
        <w:t>vi</w:t>
      </w:r>
    </w:p>
    <w:p>
      <w:pPr>
        <w:ind w:left="960" w:right="360" w:hanging="424"/>
        <w:spacing w:after="0" w:line="223"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baseline eGFR values &lt; 60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had a numerically greater increase in mean eGFR than those with a baseline eGFR ≥ 60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509" w:right="459" w:bottom="1440" w:gutter="0" w:footer="0" w:header="0"/>
        </w:sectPr>
      </w:pPr>
    </w:p>
    <w:bookmarkStart w:id="2" w:name="page3"/>
    <w:bookmarkEnd w:id="2"/>
    <w:p>
      <w:pPr>
        <w:ind w:left="42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24-hour urine calcium excretion normalized by Week 26 from mean 396 mg/day at baseline to mean 206 mg/day at Week 26 and further decreased from Week 26 to mean 170 mg/day at Week 52, with improvements sustained through the end of the trials.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patients achieved independence from active vitamin D, defined as taking no calcitriol or alfacalcidol, at final trial visit.</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95% of patients achieved independence from therapeutic doses of calcium, defined as taking </w:t>
      </w:r>
      <w:r>
        <w:rPr>
          <w:rFonts w:ascii="Times New Roman" w:cs="Times New Roman" w:eastAsia="Times New Roman" w:hAnsi="Times New Roman"/>
          <w:sz w:val="18"/>
          <w:szCs w:val="18"/>
          <w:u w:val="single" w:color="auto"/>
          <w:color w:val="auto"/>
        </w:rPr>
        <w:t>&lt;</w:t>
      </w:r>
      <w:r>
        <w:rPr>
          <w:rFonts w:ascii="Times New Roman" w:cs="Times New Roman" w:eastAsia="Times New Roman" w:hAnsi="Times New Roman"/>
          <w:sz w:val="18"/>
          <w:szCs w:val="18"/>
          <w:color w:val="auto"/>
        </w:rPr>
        <w:t>600 mg/day of calcium, at final trial visit.</w:t>
      </w:r>
    </w:p>
    <w:p>
      <w:pPr>
        <w:spacing w:after="0" w:line="130" w:lineRule="exact"/>
        <w:rPr>
          <w:rFonts w:ascii="Times New Roman" w:cs="Times New Roman" w:eastAsia="Times New Roman" w:hAnsi="Times New Roman"/>
          <w:sz w:val="18"/>
          <w:szCs w:val="18"/>
          <w:color w:val="auto"/>
        </w:rPr>
      </w:pPr>
    </w:p>
    <w:p>
      <w:pPr>
        <w:ind w:left="420" w:right="6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serum calcium increased within the normal range to 8.9 mg/dL, with 88% of patients having normal albumin-adjusted serum calcium levels at final trial visit.</w:t>
      </w:r>
    </w:p>
    <w:p>
      <w:pPr>
        <w:spacing w:after="0" w:line="67" w:lineRule="exact"/>
        <w:rPr>
          <w:rFonts w:ascii="Times New Roman" w:cs="Times New Roman" w:eastAsia="Times New Roman" w:hAnsi="Times New Roman"/>
          <w:sz w:val="18"/>
          <w:szCs w:val="18"/>
          <w:color w:val="auto"/>
        </w:rPr>
      </w:pPr>
    </w:p>
    <w:p>
      <w:pPr>
        <w:ind w:left="420" w:right="66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trials, TransCon PTH was generally well tolerated, with no new safety signals identified. Most treatment-emergent adverse events (TEAEs) were mild to moderate (Grade 1 or 2).</w:t>
      </w:r>
    </w:p>
    <w:p>
      <w:pPr>
        <w:spacing w:after="0" w:line="162"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The PaTH Forward and PaTHway trials included a combined total of 141 adults with hypoparathyroidism. The pooled kidney data analysis covers the 139 patients who received at least one dose of TransCon PTH. Of these, 129 completed the final trial visit. The PaTH Forward and PaTHway trials comprised randomized, double-blind, placebo-controlled periods through Weeks 4 and 26 and open-label extension periods through Weeks 266 and 182, respectively. An eGFR ≥30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was required for trial eligibility. Mean (SD) baseline eGFR for the pooled analysis was 69 (17)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The pooled data were analyzed post-hoc and included evaluation of the impact of TransCon PTH on renal function, as assessed by, change from baseline in eGFR and proportion of patients with an increase in eGFR ≥5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as well as 24-hour urinary calcium.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All statements, other than statements of historical facts, included in this report regarding Ascendis’ future operations, plans and objectives of management are forward-looking statements within the meaning of Section 27A of the Securities Act of 1933, as amended, and Section 21E of the Securities Exchange Act of 1934, as amended. Examples of such statements include, but are not limited to, statements relating to (i) TransCon PTH (palopegteriparatide) data from the Phase 2 PaTH Forward and Phase 3 PaTHway trials, (ii) TransCon PTH’s ability to replicate the systemic and balanced actions of endogenous PTH across multiple target organ systems and to provide or restore the full range of effects of PTH that are missing in hypoparathyroidism, and (iii) TransCon PTH’s differentiated profile, including its potential to show simultaneous improvements across key measures while enabling independence from conventional therapy.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without limitation: dependence on third-party manufacturers, distributors, and service providers for Ascendis’ products and product candidates; risks related to regulatory review and approval, including the possibility of delays, requests for additional data or analyses, restrictions or limitations on</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approval with labeling that is more limited than expected, or failure to obtain approval in the United States, European Union, or other jurisdictions; clinical development risks, including that results from ongoing or future trials may not confirm earlier data; unforeseen safety or efficacy findings in development programs or on-market products; manufacturing, supply chain, quality, or logistics issues that could delay development or commercialization; unforeseen expenses related to commercialization of any approved Ascendis products; unforeseen research and development or selling, general and administrative expenses and other costs impacting Ascendis’ business generally; market acceptance, pricing, and reimbursement challenges, including payer coverage decisions and health technology assessments; competitive developments, including new or improved therapies; intellectual property protection, freedom-to-operate, and litigation risks; Ascendis’ ability to obtain additional funding, if needed, to support its business activities; cybersecurity, data privacy, and information technology disruptions; and the impact of international economic, political, legal, compliance, public health, and business factors, including tariffs, trade policies, currency fluctuations, and geopolitical events.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11, 2026,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Khan AA, Bilezikian JP, Brandi ML, et al. </w:t>
      </w:r>
      <w:r>
        <w:rPr>
          <w:rFonts w:ascii="Times New Roman" w:cs="Times New Roman" w:eastAsia="Times New Roman" w:hAnsi="Times New Roman"/>
          <w:sz w:val="18"/>
          <w:szCs w:val="18"/>
          <w:i w:val="1"/>
          <w:iCs w:val="1"/>
          <w:color w:val="auto"/>
        </w:rPr>
        <w:t>J Bone Miner Res</w:t>
      </w:r>
      <w:r>
        <w:rPr>
          <w:rFonts w:ascii="Times New Roman" w:cs="Times New Roman" w:eastAsia="Times New Roman" w:hAnsi="Times New Roman"/>
          <w:sz w:val="18"/>
          <w:szCs w:val="18"/>
          <w:color w:val="auto"/>
        </w:rPr>
        <w:t>. 2022; 37(12):2568-2585.</w:t>
      </w:r>
    </w:p>
    <w:p>
      <w:pPr>
        <w:ind w:left="424" w:hanging="424"/>
        <w:spacing w:after="0" w:line="180" w:lineRule="auto"/>
        <w:tabs>
          <w:tab w:leader="none" w:pos="424"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 xml:space="preserve">Holten-Andersen L, Pihl S, Rasmussen CE, et al. </w:t>
      </w:r>
      <w:r>
        <w:rPr>
          <w:rFonts w:ascii="Times New Roman" w:cs="Times New Roman" w:eastAsia="Times New Roman" w:hAnsi="Times New Roman"/>
          <w:sz w:val="17"/>
          <w:szCs w:val="17"/>
          <w:i w:val="1"/>
          <w:iCs w:val="1"/>
          <w:color w:val="auto"/>
        </w:rPr>
        <w:t>J Bone Miner Res</w:t>
      </w:r>
      <w:r>
        <w:rPr>
          <w:rFonts w:ascii="Times New Roman" w:cs="Times New Roman" w:eastAsia="Times New Roman" w:hAnsi="Times New Roman"/>
          <w:sz w:val="17"/>
          <w:szCs w:val="17"/>
          <w:color w:val="auto"/>
        </w:rPr>
        <w:t>. Nov 2019;34(11):2075-2086. doi:10.1002/jbmr.3824.</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Karpf DB, Pihl S, Mourya S, et al. </w:t>
      </w:r>
      <w:r>
        <w:rPr>
          <w:rFonts w:ascii="Times New Roman" w:cs="Times New Roman" w:eastAsia="Times New Roman" w:hAnsi="Times New Roman"/>
          <w:sz w:val="16"/>
          <w:szCs w:val="16"/>
          <w:i w:val="1"/>
          <w:iCs w:val="1"/>
          <w:color w:val="auto"/>
        </w:rPr>
        <w:t>J Bone Miner Res</w:t>
      </w:r>
      <w:r>
        <w:rPr>
          <w:rFonts w:ascii="Times New Roman" w:cs="Times New Roman" w:eastAsia="Times New Roman" w:hAnsi="Times New Roman"/>
          <w:sz w:val="16"/>
          <w:szCs w:val="16"/>
          <w:color w:val="auto"/>
        </w:rPr>
        <w:t>. Aug 2020;35(8):1430-1440. doi:10.1002/jbmr.4016</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Mayne TJ, et al. </w:t>
      </w:r>
      <w:r>
        <w:rPr>
          <w:rFonts w:ascii="Times New Roman" w:cs="Times New Roman" w:eastAsia="Times New Roman" w:hAnsi="Times New Roman"/>
          <w:sz w:val="16"/>
          <w:szCs w:val="16"/>
          <w:i w:val="1"/>
          <w:iCs w:val="1"/>
          <w:color w:val="auto"/>
        </w:rPr>
        <w:t>Clin Transplant</w:t>
      </w:r>
      <w:r>
        <w:rPr>
          <w:rFonts w:ascii="Times New Roman" w:cs="Times New Roman" w:eastAsia="Times New Roman" w:hAnsi="Times New Roman"/>
          <w:sz w:val="16"/>
          <w:szCs w:val="16"/>
          <w:color w:val="auto"/>
        </w:rPr>
        <w:t>. 2021;35(7):e14326.</w:t>
      </w:r>
    </w:p>
    <w:p>
      <w:pPr>
        <w:ind w:left="424" w:hanging="424"/>
        <w:spacing w:after="0" w:line="180" w:lineRule="auto"/>
        <w:tabs>
          <w:tab w:leader="none" w:pos="424"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 xml:space="preserve">Ku E, et al. </w:t>
      </w:r>
      <w:r>
        <w:rPr>
          <w:rFonts w:ascii="Times New Roman" w:cs="Times New Roman" w:eastAsia="Times New Roman" w:hAnsi="Times New Roman"/>
          <w:sz w:val="17"/>
          <w:szCs w:val="17"/>
          <w:i w:val="1"/>
          <w:iCs w:val="1"/>
          <w:color w:val="auto"/>
        </w:rPr>
        <w:t>J Am Soc Nephrol.</w:t>
      </w:r>
      <w:r>
        <w:rPr>
          <w:rFonts w:ascii="Times New Roman" w:cs="Times New Roman" w:eastAsia="Times New Roman" w:hAnsi="Times New Roman"/>
          <w:sz w:val="17"/>
          <w:szCs w:val="17"/>
          <w:color w:val="auto"/>
        </w:rPr>
        <w:t xml:space="preserve"> 2016;27(7):2196-204.</w:t>
      </w:r>
    </w:p>
    <w:p>
      <w:pPr>
        <w:ind w:left="424" w:hanging="424"/>
        <w:spacing w:after="0" w:line="181" w:lineRule="auto"/>
        <w:tabs>
          <w:tab w:leader="none" w:pos="4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 xml:space="preserve">Guppy M et al. </w:t>
      </w:r>
      <w:r>
        <w:rPr>
          <w:rFonts w:ascii="Times New Roman" w:cs="Times New Roman" w:eastAsia="Times New Roman" w:hAnsi="Times New Roman"/>
          <w:sz w:val="17"/>
          <w:szCs w:val="17"/>
          <w:i w:val="1"/>
          <w:iCs w:val="1"/>
          <w:color w:val="auto"/>
        </w:rPr>
        <w:t>BMJ Open.</w:t>
      </w:r>
      <w:r>
        <w:rPr>
          <w:rFonts w:ascii="Times New Roman" w:cs="Times New Roman" w:eastAsia="Times New Roman" w:hAnsi="Times New Roman"/>
          <w:sz w:val="17"/>
          <w:szCs w:val="17"/>
          <w:color w:val="auto"/>
        </w:rPr>
        <w:t xml:space="preserve"> 2024;14(11):e089783. doi:10.1136/bmjopen-2024-089783</w:t>
      </w:r>
    </w:p>
    <w:p>
      <w:pPr>
        <w:sectPr>
          <w:pgSz w:w="11900" w:h="16838" w:orient="portrait"/>
          <w:cols w:equalWidth="0" w:num="1">
            <w:col w:w="10964"/>
          </w:cols>
          <w:pgMar w:left="436" w:top="270" w:right="4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Ascendis Pharma A/S</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i"/>
      <w:numFmt w:val="bullet"/>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v"/>
      <w:numFmt w:val="bullet"/>
      <w:start w:val="1"/>
    </w:lvl>
  </w:abstractNum>
  <w:abstractNum w:abstractNumId="5">
    <w:nsid w:val="507ED7AB"/>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2026-10-26T15:04:08Z</dcterms:created>
  <dcterms:modified xsi:type="dcterms:W3CDTF">2026-10-26T15:04:08Z</dcterms:modified>
</cp:coreProperties>
</file>