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9239d6k.htm"/>
      <w:bookmarkStart w:id="1" w:name="ksd13923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2026, the Company announced that it has entered into a binding term sheet for a global settlement and license agreement with BioMarin Pharmaceutical Inc. (“BioMarin”) related to the sale of YUVIWEL® and navepegritide-related products. The binding term sheet provides the terms and conditions upon which the companies agree to resolve all litigation and disputes between the companies. Under the terms, BioMarin has agreed to grant Ascendis a non-exclusive, worldwide, royalty-bearing license, allowing Ascendis to continue researching, developing, manufacturing, and commercializing navepegritide-related products without restriction. Furthermore, BioMarin has agreed to waive certain regulatory rights and exclusivities, dismiss all proceedings, and provide a covenant not to sue relating to the covered intellectual property. In exchange, the Company has agreed to dismiss all proceedings against BioMarin and to make royalty payments to BioMarin based on net sales of navepegritide-related products equal to 20% in the United States and 18% in the European Union, South Korea and Brazil from the first commercial sale of YUVIWEL in the specific country through May 20, 2030. </w:t>
      </w:r>
    </w:p>
    <w:p>
      <w:pPr>
        <w:pStyle w:val="TextBody"/>
        <w:bidi w:val="0"/>
        <w:spacing w:before="24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report contains forward-looking statements that involve substantial risks and uncertainties. All statements, other than statements of historical facts, included in this report regarding Ascendis’ future operations, plans and objectives of management are forward-looking statements within the meaning of Section 27A of the Securities Act of 1933, as amended, and Section 21E of the Securities Exchange Act of 1934, as amended. Examples of such statements include, but are not limited to, statements relating to (i) the resolution of litigation and disputes between Ascendis and BioMarin pursuant to the binding term sheet and anticipated definitive agreement, and (ii) the continued research, development, manufacturing and commercialization of navepegritide-related products.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without limitation: dependence on third-party manufacturers, distributors, and service providers for Ascendis’ products and product candidates; risks related to regulatory review and approval, including the possibility of delays, requests for additional data or analyses, restrictions or limitations on use, approval with labeling that is more limited than expected, or failure to obtain approval in the United States, European Union, or other jurisdictions; clinical development risks, including that results from ongoing or future trials may not confirm earlier data; unforeseen safety or efficacy findings in development programs or on-market products; manufacturing, supply chain, quality, or logistics issues that could delay development or commercialization; unforeseen expenses related to commercialization of any approved Ascendis products; unforeseen research and development or selling, general and administrative expenses and other costs impacting Ascendis’ business generally; market acceptance, pricing, and reimbursement challenges, including payer coverage decisions and health technology assessments; competitive developments, including new or improved therapies; intellectual property protection, freedom-to-operate, and litigation risks; Ascendis’ ability to obtain additional funding, if needed, to support its business activities; cybersecurity, data privacy, and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technology disruptions; and the impact of international economic, political, legal, compliance, public health, and business factors, including tariffs, trade policies, currency fluctuations, and geopolitical events.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11, 2026,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4"/>
        <w:gridCol w:w="101"/>
        <w:gridCol w:w="408"/>
        <w:gridCol w:w="101"/>
        <w:gridCol w:w="305"/>
        <w:gridCol w:w="101"/>
        <w:gridCol w:w="4595"/>
      </w:tblGrid>
      <w:tr>
        <w:trPr/>
        <w:tc>
          <w:tcPr>
            <w:tcW w:w="459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tcPr>
          <w:p>
            <w:pPr>
              <w:pStyle w:val="TableContents"/>
              <w:bidi w:val="0"/>
              <w:spacing w:before="0" w:after="283"/>
              <w:jc w:val="left"/>
              <w:rPr/>
            </w:pPr>
            <w:r>
              <w:rPr/>
              <w:t>Ascendis Pharma A/S</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6" w:type="dxa"/>
            <w:gridSpan w:val="2"/>
            <w:tcBorders/>
            <w:vAlign w:val="center"/>
          </w:tcPr>
          <w:p>
            <w:pPr>
              <w:pStyle w:val="TableContents"/>
              <w:bidi w:val="0"/>
              <w:spacing w:before="0" w:after="283"/>
              <w:jc w:val="left"/>
              <w:rPr>
                <w:sz w:val="4"/>
                <w:szCs w:val="4"/>
              </w:rPr>
            </w:pPr>
            <w:r>
              <w:rPr>
                <w:sz w:val="4"/>
                <w:szCs w:val="4"/>
              </w:rPr>
            </w:r>
          </w:p>
        </w:tc>
      </w:tr>
      <w:tr>
        <w:trPr/>
        <w:tc>
          <w:tcPr>
            <w:tcW w:w="4594" w:type="dxa"/>
            <w:tcBorders/>
          </w:tcPr>
          <w:p>
            <w:pPr>
              <w:pStyle w:val="TableContents"/>
              <w:bidi w:val="0"/>
              <w:spacing w:before="0" w:after="283"/>
              <w:jc w:val="left"/>
              <w:rPr/>
            </w:pPr>
            <w:r>
              <w:rPr/>
              <w:t>Date: August 31, 2026</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Michael Wolff Jensen</w:t>
            </w:r>
          </w:p>
        </w:tc>
      </w:tr>
      <w:tr>
        <w:trPr/>
        <w:tc>
          <w:tcPr>
            <w:tcW w:w="459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Executive Vice President, Chief Legal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895</Words>
  <Characters>5563</Characters>
  <CharactersWithSpaces>6482</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