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SMITH SCOTT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ASCENDIS PHARMA A/S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TUBORG BOULEVARD 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HELLERUP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G7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DK-2900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Ascendis Pharma A/S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ASND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32"/>
        <w:gridCol w:w="1959"/>
        <w:gridCol w:w="1159"/>
        <w:gridCol w:w="2655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4,017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10"/>
        <w:gridCol w:w="1223"/>
        <w:gridCol w:w="1130"/>
        <w:gridCol w:w="1322"/>
        <w:gridCol w:w="938"/>
        <w:gridCol w:w="1267"/>
        <w:gridCol w:w="1230"/>
        <w:gridCol w:w="1385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7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7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Warrants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12/12/2027</w:t>
            </w:r>
          </w:p>
        </w:tc>
        <w:tc>
          <w:tcPr>
            <w:tcW w:w="13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37.18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Warrants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12/11/2028</w:t>
            </w:r>
          </w:p>
        </w:tc>
        <w:tc>
          <w:tcPr>
            <w:tcW w:w="13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62.17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Warrants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12/10/2029</w:t>
            </w:r>
          </w:p>
        </w:tc>
        <w:tc>
          <w:tcPr>
            <w:tcW w:w="13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Warrants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12/10/2030</w:t>
            </w:r>
          </w:p>
        </w:tc>
        <w:tc>
          <w:tcPr>
            <w:tcW w:w="13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22,755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176.28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Warrants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12/09/2031</w:t>
            </w:r>
          </w:p>
        </w:tc>
        <w:tc>
          <w:tcPr>
            <w:tcW w:w="13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14,504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139.65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3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4,246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3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3,197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3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9,552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warrants are fully vested and currently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on March 1, 2027 and have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a contingent right to receive one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vest in two equal annual installments beginning on March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restricted stock units vest in three equal annual installments beginning on March 1,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Amended to correct total in Table I as previously filed version did not include 1,500 shares held in brokerage accounts. Resubmitting Form 3 for completeness.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Wolff Jensen as attorney-in-fact for Scott 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.txt"/>
      <w:bookmarkStart w:id="3" w:name="kspoa"/>
      <w:bookmarkEnd w:id="2"/>
      <w:bookmarkEnd w:id="3"/>
      <w:r>
        <w:rPr/>
        <w:t xml:space="preserve">                               </w:t>
      </w:r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With  respect  to  holdings  of  and  transactions  in securities issued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Ascendis  Pharma  A/S  (the  "Company"), 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 the  individuals  named  on  SCHEDULE  A attached hereto and as may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amended  from  time  to  time, or any of them signing singly,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  and  resubstitution,  to  act as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1.    execute for and on behalf of the undersigned, Schedules 13D and 13G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in  accordance  with Section 13 of the Securities Exchange Act of 1934,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as  amended  (the  "Exchange Act"), and the rules thereunder, and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3,  4,  and 5 in accordance with Section 16 of the Exchange Act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rules  thereunder,  and Notices of Proposed Sale of Securities Pursuant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to  Rule  144 ("Form 144"), in accordance with the requirements of Rule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144  under  the  Securities  Act  of  1933, as amended (the "Securities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Act");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2.   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which  may  be  necessary or desirable to complete and execute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Schedule  13D,  Schedule  13G,  Form  3,  Form 4, Form 5, and Form 144,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complete  and  execute  any  amendment  or  amendments  thereto, and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timely  file  such  Schedule 13D, Schedule 13G, Form 3, Form 4, Form 5,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and  Form  144,  as  applicable,  and  any  amendment thereto,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United  States  Securities  and  Exchange  Commission  and  any 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exchange or similar authority.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authority  to  do  and  perform  any  and  every  act 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requisite,  necessary,  or  proper to be done in the exercise of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rights  and  powers herein granted, as fully to all intents and purposes as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 undersigned  might  or could do if personally present, with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of  substitution  and  resubstitution  or  revocation, hereby ratifying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confirming  all  that  such  attorney-in-fact,  or  such  attorneys-in-fact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substitute  or substitutes, shall lawfully do or cause to be done by virtue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of this 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 undersigned  acknowledges  that  the  foregoing 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 in  such  capacity at the request of the undersigned, are not assuming,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nor  is  the  Company  assuming,  any  of  the undersigned's responsibilities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comply  with  Section  13  and Section 16 of the Exchange Act, or Rule 144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This  Power  of  Attorney  shall 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 is  no longer required to file any Schedule 13D, Schedule 13G,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 Form  4,  Form 5, and Form 144 with respect to the undersigned's holdings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 transactions in securities issued by the Company, unless earlier revoked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 undersigned  in  a  signed  writing  delivered  to  the 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IN  WITNESS  WHEREOF,  the undersigned has caused this Power of Attorney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be executed as of this 18th day of March,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</w:t>
      </w:r>
      <w:r>
        <w:rPr/>
        <w:t>/s/ Scott Smith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</w:t>
      </w:r>
      <w:r>
        <w:rPr/>
        <w:t>Schedule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Individuals Appointed as Attorney-in-Fact with Full Power of Substitution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</w:t>
      </w:r>
      <w:r>
        <w:rPr/>
        <w:t>Resubstitution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Jan Mikkelsen, President and 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Michael Wolff Jensen, Executive Vice President, Chief Legal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Mads Bodenhoff, Senior Vice President, Head of Finance and Principal Accounting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Birgitte Bogelund-Arvidsen, Senior Director, Equity Compensation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Anders Carstensen, Head of Corporate and Legal Transactions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65550" TargetMode="External"/><Relationship Id="rId3" Type="http://schemas.openxmlformats.org/officeDocument/2006/relationships/hyperlink" Target="http://www.sec.gov/cgi-bin/browse-edgar?action=getcompany&amp;CIK=000161204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1099</Words>
  <Characters>5889</Characters>
  <CharactersWithSpaces>7343</CharactersWithSpaces>
  <Paragraphs>185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