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9910d6k.htm"/>
      <w:bookmarkStart w:id="1" w:name="ksd10991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Warrant Grants </w:t>
      </w:r>
    </w:p>
    <w:p>
      <w:pPr>
        <w:pStyle w:val="TextBody"/>
        <w:bidi w:val="0"/>
        <w:spacing w:before="120" w:after="0"/>
        <w:jc w:val="left"/>
        <w:rPr>
          <w:rFonts w:ascii="Times New Roman" w:hAnsi="Times New Roman"/>
          <w:sz w:val="20"/>
        </w:rPr>
      </w:pPr>
      <w:r>
        <w:rPr>
          <w:rFonts w:ascii="Times New Roman" w:hAnsi="Times New Roman"/>
          <w:sz w:val="20"/>
        </w:rPr>
        <w:t xml:space="preserve">On July 14, 2026, the Company’s board of directors granted an aggregate of 14,060 warrants to certain employees of the Company (the “Warrants”) under the terms of Appendix 1a to the Company’s Articles of Association. In connection with the grant of these Warrants, the Company amended its Articles of Association to provide for the grant of these Warrants. Each Warrant confers the right to subscribe for one ordinary share of the Company and has an exercise price equal to US $265.57 per share, the closing price of the Company’s ordinary shares as reported on the date of grant. Subject to earlier vesting upon the occurrence of certain exit events, 25% of the Warrants will vest on the one year anniversary of the date of grant and the remaining 75% will vest at a rate of 1/36th per month from one year after the date of grant, subject to continued service.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grant of the Warrants described above, warrants to subscribe for an additional 1,539,503 shares of the Company remain available for future grant by the Company’s board of directors pursuant to the Company’s Articles of Association. The foregoing description of the material terms of the Warrants is qualified in its entirety by reference to the Company’s Articles of Association, which is included as Exhibit 1.1 hereto and incorporated by reference herein. </w:t>
      </w:r>
    </w:p>
    <w:p>
      <w:pPr>
        <w:pStyle w:val="TextBody"/>
        <w:bidi w:val="0"/>
        <w:spacing w:before="24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1"/>
        <w:gridCol w:w="522"/>
        <w:gridCol w:w="8902"/>
      </w:tblGrid>
      <w:tr>
        <w:trPr/>
        <w:tc>
          <w:tcPr>
            <w:tcW w:w="781"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8902"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No.</w:t>
            </w:r>
          </w:p>
        </w:tc>
        <w:tc>
          <w:tcPr>
            <w:tcW w:w="522" w:type="dxa"/>
            <w:tcBorders/>
            <w:vAlign w:val="bottom"/>
          </w:tcPr>
          <w:p>
            <w:pPr>
              <w:pStyle w:val="TableContents"/>
              <w:bidi w:val="0"/>
              <w:spacing w:before="0" w:after="283"/>
              <w:jc w:val="left"/>
              <w:rPr/>
            </w:pPr>
            <w:r>
              <w:rPr/>
              <w:t>  </w:t>
            </w:r>
          </w:p>
        </w:tc>
        <w:tc>
          <w:tcPr>
            <w:tcW w:w="89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1" w:type="dxa"/>
            <w:tcBorders/>
            <w:vAlign w:val="center"/>
          </w:tcPr>
          <w:p>
            <w:pPr>
              <w:pStyle w:val="TableContents"/>
              <w:bidi w:val="0"/>
              <w:spacing w:before="0" w:after="283"/>
              <w:jc w:val="left"/>
              <w:rPr>
                <w:sz w:val="4"/>
                <w:szCs w:val="4"/>
              </w:rPr>
            </w:pPr>
            <w:r>
              <w:rPr>
                <w:sz w:val="4"/>
                <w:szCs w:val="4"/>
              </w:rPr>
            </w:r>
          </w:p>
        </w:tc>
        <w:tc>
          <w:tcPr>
            <w:tcW w:w="9424" w:type="dxa"/>
            <w:gridSpan w:val="2"/>
            <w:tcBorders/>
            <w:vAlign w:val="center"/>
          </w:tcPr>
          <w:p>
            <w:pPr>
              <w:pStyle w:val="TableContents"/>
              <w:bidi w:val="0"/>
              <w:spacing w:before="0" w:after="283"/>
              <w:jc w:val="left"/>
              <w:rPr>
                <w:sz w:val="4"/>
                <w:szCs w:val="4"/>
              </w:rPr>
            </w:pPr>
            <w:r>
              <w:rPr>
                <w:sz w:val="4"/>
                <w:szCs w:val="4"/>
              </w:rPr>
            </w:r>
          </w:p>
        </w:tc>
      </w:tr>
      <w:tr>
        <w:trPr/>
        <w:tc>
          <w:tcPr>
            <w:tcW w:w="781" w:type="dxa"/>
            <w:tcBorders/>
          </w:tcPr>
          <w:p>
            <w:pPr>
              <w:pStyle w:val="TableContents"/>
              <w:bidi w:val="0"/>
              <w:spacing w:before="0" w:after="283"/>
              <w:jc w:val="left"/>
              <w:rPr/>
            </w:pPr>
            <w:r>
              <w:rPr/>
              <w:t>1.1</w:t>
            </w:r>
          </w:p>
        </w:tc>
        <w:tc>
          <w:tcPr>
            <w:tcW w:w="522" w:type="dxa"/>
            <w:tcBorders/>
            <w:vAlign w:val="bottom"/>
          </w:tcPr>
          <w:p>
            <w:pPr>
              <w:pStyle w:val="TableContents"/>
              <w:bidi w:val="0"/>
              <w:spacing w:before="0" w:after="283"/>
              <w:jc w:val="left"/>
              <w:rPr/>
            </w:pPr>
            <w:r>
              <w:rPr/>
              <w:t>  </w:t>
            </w:r>
          </w:p>
        </w:tc>
        <w:tc>
          <w:tcPr>
            <w:tcW w:w="8902" w:type="dxa"/>
            <w:tcBorders/>
          </w:tcPr>
          <w:p>
            <w:pPr>
              <w:pStyle w:val="TableContents"/>
              <w:bidi w:val="0"/>
              <w:spacing w:before="0" w:after="283"/>
              <w:jc w:val="left"/>
              <w:rPr/>
            </w:pPr>
            <w:hyperlink w:anchor="d109910dex11.htm">
              <w:r>
                <w:rPr>
                  <w:rStyle w:val="InternetLink"/>
                </w:rPr>
                <w:t xml:space="preserve">Articles of Association.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1"/>
        <w:gridCol w:w="101"/>
        <w:gridCol w:w="407"/>
        <w:gridCol w:w="101"/>
        <w:gridCol w:w="305"/>
        <w:gridCol w:w="101"/>
        <w:gridCol w:w="4599"/>
      </w:tblGrid>
      <w:tr>
        <w:trPr/>
        <w:tc>
          <w:tcPr>
            <w:tcW w:w="459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9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5" w:type="dxa"/>
            <w:gridSpan w:val="3"/>
            <w:tcBorders/>
          </w:tcPr>
          <w:p>
            <w:pPr>
              <w:pStyle w:val="TableContents"/>
              <w:bidi w:val="0"/>
              <w:spacing w:before="0" w:after="283"/>
              <w:jc w:val="left"/>
              <w:rPr/>
            </w:pPr>
            <w:r>
              <w:rPr/>
              <w:t>Ascendis Pharma A/S</w:t>
            </w:r>
          </w:p>
        </w:tc>
      </w:tr>
      <w:tr>
        <w:trPr>
          <w:trHeight w:val="240" w:hRule="atLeast"/>
        </w:trPr>
        <w:tc>
          <w:tcPr>
            <w:tcW w:w="4591"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4591" w:type="dxa"/>
            <w:tcBorders/>
          </w:tcPr>
          <w:p>
            <w:pPr>
              <w:pStyle w:val="TableContents"/>
              <w:bidi w:val="0"/>
              <w:spacing w:before="0" w:after="283"/>
              <w:jc w:val="left"/>
              <w:rPr/>
            </w:pPr>
            <w:r>
              <w:rPr/>
              <w:t>Date: July 15, 2026</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Wolff Jensen</w:t>
            </w:r>
          </w:p>
        </w:tc>
      </w:tr>
      <w:tr>
        <w:trPr/>
        <w:tc>
          <w:tcPr>
            <w:tcW w:w="459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Michael Wolff Jensen</w:t>
            </w:r>
          </w:p>
        </w:tc>
      </w:tr>
      <w:tr>
        <w:trPr/>
        <w:tc>
          <w:tcPr>
            <w:tcW w:w="459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Executive Vice President, Chief Legal Officer</w:t>
            </w:r>
          </w:p>
        </w:tc>
      </w:tr>
    </w:tbl>
    <w:p>
      <w:pPr>
        <w:pStyle w:val="TextBody"/>
        <w:bidi w:val="0"/>
        <w:spacing w:before="0" w:after="0"/>
        <w:jc w:val="right"/>
        <w:rPr>
          <w:rFonts w:ascii="Times New Roman" w:hAnsi="Times New Roman"/>
          <w:b/>
          <w:sz w:val="20"/>
        </w:rPr>
      </w:pPr>
      <w:bookmarkStart w:id="2" w:name="d109910dex11.htm"/>
      <w:bookmarkStart w:id="3" w:name="ksd109910dex11"/>
      <w:bookmarkEnd w:id="2"/>
      <w:bookmarkEnd w:id="3"/>
      <w:r>
        <w:rPr>
          <w:rFonts w:ascii="Times New Roman" w:hAnsi="Times New Roman"/>
          <w:b/>
          <w:sz w:val="20"/>
        </w:rPr>
        <w:t xml:space="preserve">Exhibit 1.1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REF. K003583-0008-2788-2522-1654.v4 </w:t>
      </w:r>
    </w:p>
    <w:p>
      <w:pPr>
        <w:pStyle w:val="TextBody"/>
        <w:bidi w:val="0"/>
        <w:spacing w:before="0" w:after="0"/>
        <w:jc w:val="left"/>
        <w:rPr>
          <w:rFonts w:ascii="Times New Roman" w:hAnsi="Times New Roman"/>
          <w:sz w:val="20"/>
        </w:rPr>
      </w:pPr>
      <w:r>
        <w:rPr>
          <w:rFonts w:ascii="Times New Roman" w:hAnsi="Times New Roman"/>
          <w:sz w:val="20"/>
        </w:rPr>
        <w:t xml:space="preserve">14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w:t>
      </w:r>
    </w:p>
    <w:p>
      <w:pPr>
        <w:pStyle w:val="TextBody"/>
        <w:bidi w:val="0"/>
        <w:spacing w:before="240" w:after="0"/>
        <w:jc w:val="center"/>
        <w:rPr>
          <w:rFonts w:ascii="Times New Roman" w:hAnsi="Times New Roman"/>
          <w:i/>
          <w:sz w:val="20"/>
        </w:rPr>
      </w:pPr>
      <w:r>
        <w:rPr>
          <w:rFonts w:ascii="Times New Roman" w:hAnsi="Times New Roman"/>
          <w:i/>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Ascendis Pharma A/S </w:t>
      </w:r>
    </w:p>
    <w:p>
      <w:pPr>
        <w:pStyle w:val="TextBody"/>
        <w:bidi w:val="0"/>
        <w:spacing w:before="240" w:after="0"/>
        <w:jc w:val="center"/>
        <w:rPr>
          <w:rFonts w:ascii="Times New Roman" w:hAnsi="Times New Roman"/>
          <w:sz w:val="20"/>
        </w:rPr>
      </w:pPr>
      <w:r>
        <w:rPr>
          <w:rFonts w:ascii="Times New Roman" w:hAnsi="Times New Roman"/>
          <w:sz w:val="20"/>
        </w:rPr>
        <w:t xml:space="preserve">(CVR-nr. 29918791) </w:t>
      </w:r>
    </w:p>
    <w:p>
      <w:pPr>
        <w:pStyle w:val="TextBody"/>
        <w:bidi w:val="0"/>
        <w:spacing w:before="0" w:after="0"/>
        <w:jc w:val="center"/>
        <w:rPr>
          <w:rFonts w:ascii="Times New Roman" w:hAnsi="Times New Roman"/>
          <w:i/>
          <w:sz w:val="20"/>
        </w:rPr>
      </w:pPr>
      <w:r>
        <w:rPr>
          <w:rFonts w:ascii="Times New Roman" w:hAnsi="Times New Roman"/>
          <w:i/>
          <w:sz w:val="20"/>
        </w:rPr>
        <w:t xml:space="preserve">(Registration no 29918791)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Name, Registered Office and Objects of the Company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 is Ascendis Pharma A/S.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Deleted by resolution of the shareholders on 23</w:t>
      </w:r>
      <w:r>
        <w:rPr>
          <w:rFonts w:ascii="Times New Roman" w:hAnsi="Times New Roman"/>
          <w:sz w:val="20"/>
        </w:rPr>
        <w:t> </w:t>
      </w:r>
      <w:r>
        <w:rPr>
          <w:rFonts w:ascii="Times New Roman" w:hAnsi="Times New Roman"/>
          <w:i/>
          <w:sz w:val="20"/>
        </w:rPr>
        <w:t>April 2015</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left"/>
        <w:rPr>
          <w:rFonts w:ascii="Times New Roman" w:hAnsi="Times New Roman"/>
          <w:sz w:val="20"/>
        </w:rPr>
      </w:pPr>
      <w:r>
        <w:rPr>
          <w:rFonts w:ascii="Times New Roman" w:hAnsi="Times New Roman"/>
          <w:sz w:val="20"/>
        </w:rPr>
        <w:t xml:space="preserve">The object of the company is to develop ideas and preparations for the combating of disease medically, to manufacture and sell such preparations or ideas, to own shares of companies with the same objects and to perform activities in natural connection with these objects.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Capital and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left"/>
        <w:rPr>
          <w:rFonts w:ascii="Times New Roman" w:hAnsi="Times New Roman"/>
          <w:sz w:val="20"/>
        </w:rPr>
      </w:pPr>
      <w:r>
        <w:rPr>
          <w:rFonts w:ascii="Times New Roman" w:hAnsi="Times New Roman"/>
          <w:sz w:val="20"/>
        </w:rPr>
        <w:t xml:space="preserve">The share capital of the company is DKK 66,189,926 divided into shares of DKK 1 each. The share capital is fully paid up.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4a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31 December 2019 on one or more occasions to issue warrants to members of the Board of Directors, Executive Management and key employees, advisors and consultants of the Company or its subsidiaries entitling the holder to subscribe shares for a total of up to nominal value of DKK 5,000,000 without pre-emptive rights for the Company’s shareholders. Warrants cannot be issued to the extent that outstanding and non-exercised warrants issued pursuant to this authorisation from 23 January 2015 are equal to 20% or more of the company’s registered share capital.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31 December 2019, on one or more occasions to increase the Company’s share capital by up to a total nominal value of DKK 5,000,000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5,000,000. The board is authorized to cause such shares to be deposited with a depositary bank and the simultaneous issuance of American Depositary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4a with effect from 29 May 2018. For clarity, any warrants issued per this section 4a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4b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on the dates stated in Appendix 3 resolved, in accordance with the latest and the previous authorizations in article 4a to issue warrants, to issue 6,049,808 warrants; in accordance with the authorization in article 4f to issue warrants, to issue 551,337 warrants; in accordance with the authorization in article 4g to issue warrants, to issue 3,010,975 warrants; in accordance with the authorization in article 4h to issue warrants, to issue 9,160 warrants, in accordance with the previous authorization in article 4h to issue warrants, to issue 2,000,000 warrants; and, in accordance with the authorization in article 4i to issue warrants, to issue 2,000,000 warrants, so that a total of 13,621,280 warrants are issued of which 8,847,755 have been exercised, annulled or have lapsed as described in Appendix 3 as of 14 July 2026. The terms and conditions of the issued warrants are adopted as Appendix 1, 1a and 2 to the articles of association and shall form an integral part hereof. (Numbers shown adjusted following bonus share issuance of 13 January 2015).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4c </w:t>
      </w:r>
    </w:p>
    <w:p>
      <w:pPr>
        <w:pStyle w:val="TextBody"/>
        <w:bidi w:val="0"/>
        <w:spacing w:before="240" w:after="0"/>
        <w:jc w:val="left"/>
        <w:rPr>
          <w:rFonts w:ascii="Times New Roman" w:hAnsi="Times New Roman"/>
          <w:sz w:val="20"/>
        </w:rPr>
      </w:pPr>
      <w:r>
        <w:rPr>
          <w:rFonts w:ascii="Times New Roman" w:hAnsi="Times New Roman"/>
          <w:sz w:val="20"/>
        </w:rPr>
        <w:t xml:space="preserve">On 26 November 2014, the general meeting resolved to issue 141,626 (adjusted following bonus share issuance of 13 January 2015: 566,504) warrants, of which all 566,504 warrants have been exercised, have been annulled or have lapsed as of 16 November 2023. The general meeting resolved simultaneously, at one or more times, to increase the share capital with minimum nominal DKK 100 and maximum nominal DKK 141,626 (adjusted following bonus share issuance of 13 January 2015: DKK 566,504). </w:t>
      </w:r>
    </w:p>
    <w:p>
      <w:pPr>
        <w:pStyle w:val="TextBody"/>
        <w:bidi w:val="0"/>
        <w:spacing w:before="240" w:after="0"/>
        <w:jc w:val="left"/>
        <w:rPr>
          <w:rFonts w:ascii="Times New Roman" w:hAnsi="Times New Roman"/>
          <w:sz w:val="20"/>
        </w:rPr>
      </w:pPr>
      <w:r>
        <w:rPr>
          <w:rFonts w:ascii="Times New Roman" w:hAnsi="Times New Roman"/>
          <w:sz w:val="20"/>
        </w:rPr>
        <w:t xml:space="preserve">The terms and conditions of the issued warrants have been adopted as Exhibit 2 to the articles of association and shall form an integral part hereof. The exercise price has been determined to USD 32.45 converted into DKK by using the official exchange rate as per the date of the general meeting, and 1 warrant therefore confers the right to subscribe nominal DKK 1 share against cash contribution of DKK 193.5188 (adjusted following bonus share issuance of 13 January 2015: DKK 48.3797) (calculated on the basis of the DKK/USD exchange rate in effect on 26 November 2014 being 1 USD = DKK 5.9636). </w:t>
      </w:r>
    </w:p>
    <w:p>
      <w:pPr>
        <w:pStyle w:val="TextBody"/>
        <w:bidi w:val="0"/>
        <w:spacing w:before="240" w:after="0"/>
        <w:jc w:val="left"/>
        <w:rPr>
          <w:rFonts w:ascii="Times New Roman" w:hAnsi="Times New Roman"/>
          <w:sz w:val="20"/>
        </w:rPr>
      </w:pPr>
      <w:r>
        <w:rPr>
          <w:rFonts w:ascii="Times New Roman" w:hAnsi="Times New Roman"/>
          <w:sz w:val="20"/>
        </w:rPr>
        <w:t xml:space="preserve">The warrants vest with 1/48 per month from 26 November 2014.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4d </w:t>
      </w:r>
    </w:p>
    <w:p>
      <w:pPr>
        <w:pStyle w:val="TextBody"/>
        <w:bidi w:val="0"/>
        <w:spacing w:before="240" w:after="0"/>
        <w:jc w:val="left"/>
        <w:rPr>
          <w:rFonts w:ascii="Times New Roman" w:hAnsi="Times New Roman"/>
          <w:sz w:val="20"/>
        </w:rPr>
      </w:pPr>
      <w:r>
        <w:rPr>
          <w:rFonts w:ascii="Times New Roman" w:hAnsi="Times New Roman"/>
          <w:sz w:val="20"/>
        </w:rPr>
        <w:t xml:space="preserve">§ 4 d (1) The board of directors is until 29 May 2029 authorized at one or more times to increase the company’s share capital with up to nominal DKK 9,000,000 with pre-emptive subscription rights for the company’s shareholders. Capital increases according to this authorisation shall be carried out by the board of directors by way of cash contributions. The board of directors is authorised to make the required amendments to the articles of association if the authorization to increase the share capital is used and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4 d (2) The Board of Directors is until 27 May 2030 authorized at one or more times to increase the Company’s share capital by up to nominal DKK 3,825,000 without pre-emptive subscription rights for the Company’s shareholders. Capital increases according to this authorization can be carried out by the Board of Directors by way of contributions in kind, conversion of debt and/or cash contributions and must be carried out at market price.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 representing such shares. </w:t>
      </w:r>
    </w:p>
    <w:p>
      <w:pPr>
        <w:pStyle w:val="TextBody"/>
        <w:bidi w:val="0"/>
        <w:spacing w:before="240" w:after="0"/>
        <w:jc w:val="left"/>
        <w:rPr>
          <w:rFonts w:ascii="Times New Roman" w:hAnsi="Times New Roman"/>
          <w:sz w:val="20"/>
        </w:rPr>
      </w:pPr>
      <w:r>
        <w:rPr>
          <w:rFonts w:ascii="Times New Roman" w:hAnsi="Times New Roman"/>
          <w:sz w:val="20"/>
        </w:rPr>
        <w:t xml:space="preserve">§ 4 d (3) For shares issued pursuant to article 4 d (1) or 4 d (2) the following shall apply: The new shares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4e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ending 29 May 2027, the company may at one or more times by resolution of the board of directors obtain loans against issuance of convertible bonds which gives the right to subscribe for shares in the company. The company’s existing shareholders shall not have pre-emption rights and the convertible bonds shall be offered at a subscription price and a conversion price that correspond in aggregate to at least the market price of the shares at the time of the decision of the board of directors. The loans shall be paid in cash. The terms and conditions for the convertible bonds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a consequence of the conversion of the convertible bonds, the board of directors is authorized during the period until 29 May 2027 to increase the share capital by a nominal value of up to DKK 9,000,000 at one or more times by resolution of the board of directors by conversion of the convertible bonds and on such other terms as the board of directors may determine. The company’s existing shareholders shall not have pre-emption rights to subscribe for shares issued by conversion of the convertible bonds. The board of directors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convertible bonds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are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4f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2027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Warrants cannot be issued to members of the board of directors pursuant to this authorization.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2027,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4f hereof to issue 14,496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January 2024 the board of directors resolved to exercise the authorization under article 4f hereof to issue 37,380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137.10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2025 the board of directors resolved to exercise the authorization under article 4f hereof to issue 31,040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119.51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March 2025 the board of directors resolved to exercise the authorization under article 4f hereof to issue 5,631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145.63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April 2025 the board of directors resolved to exercise the authorization under article 4f hereof to issue 36,760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137.41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May 2025 the board of directors resolved to exercise the authorization under article 4f hereof to issue 36,390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161.52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June 2025 the board of directors resolved to exercise the authorization under article 4f hereof to issue 24,930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172.35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July 2025 the board of directors resolved to exercise the authorization under article 4f hereof to issue 25,020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168.17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August 2025 the board of directors resolved to exercise the authorization under article 4f hereof to issue 28,480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195.98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September 2025 the board of directors resolved to exercise the authorization under article 4f hereof to issue 33,890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202.91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October 2025 the board of directors resolved to exercise the authorization under article 4f hereof to issue 31,710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208.71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November 2025 the board of directors resolved to exercise the authorization under article 4f hereof to issue 41,220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201.16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2025 the board of directors resolved to exercise the authorization under article 4f hereof to issue 27,820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196.63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January 2026 the board of directors resolved to exercise the authorization under article 4f hereof to issue 42,030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215.05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February 2026 the board of directors resolved to exercise the authorization under article 4f hereof to issue 16,570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224.19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March 2026 the board of directors resolved to exercise the authorization under article 4f hereof to issue 22,480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240.52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4f hereof to issue 23,150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2026 the board of directors resolved to exercise the authorization under article 4f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237.65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June 2026 the board of directors resolved to exercise the authorization under article 4f hereof to issue 27,030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213.23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July 2026 the board of directors resolved to exercise the authorization under article 4f hereof to issue 14,060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265.57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28 May 2023 on one or more occasions to issue warrants to members of the Board of Directors, Executive Management and employees, advisors and consultants of the Company or its subsidiaries entitling the holder to subscribe shares for a total of up to nominal value of DKK 4,000,000 without pre-emptive rights for the Company’s shareholders. The exercise price for the warrants shall be determined by the Board of Directors in consultation with the Company’s advisors and shall equal at least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28 May 2023, on one or more occasions to increase the Company’s share capital by up to a total nominal value of DKK 4,000,000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4,000,000.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shareholder register.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12 June 2018 the Board of Directors resolved to exercise the authorization under article 4g hereof to issue 14,125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July 2018 the Board of Directors resolved to exercise the authorization under article 4g hereof to issue 18,500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69.79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14 August 2018 the Board of Directors resolved to exercise the authorization under article 4g hereof to issue 70,000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September 2018 the Board of Directors resolved to exercise the authorization under article 4g hereof to issue 123,000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63.77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October 2018 the Board of Directors resolved to exercise the authorization under article 4g hereof to issue 85,750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65.28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November 2018 the Board of Directors resolved to exercise the authorization under article 4g hereof to issue 76,000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December 2018 the Board of Directors resolved to exercise the authorization under article 4g hereof to issue 1,074,500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62.17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January 2019 the Board of Directors resolved to exercise the authorization under article 4g hereof to issue 40,000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70.94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February 2019 the Board of Directors resolved to exercise the authorization under article 4g hereof to issue 14,500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70.20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April 2019 the Board of Directors resolved to exercise the authorization under article 4g hereof to issue 118,000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119.13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May 2019 the Board of Directors resolved to exercise the authorization under article 4g hereof to issue 37,000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120.28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June 2019 the Board of Directors resolved to exercise the authorization under article 4g hereof to issue 17,000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118.80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July 2019 the Board of Directors resolved to exercise the authorization under article 4g hereof to issue 44,000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114.13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August 2019 the Board of Directors resolved to exercise the authorization under article 4g hereof to issue 50,000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114.96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September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105.31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October 2019 the Board of Directors resolved to exercise the authorization under article 4g hereof to issue 45,000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92.54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November 2019 the Board of Directors resolved to exercise the authorization under article 4g hereof to issue 31,500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111.24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December 2019 the Board of Directors resolved to exercise the authorization under article 4g hereof to issue 858,600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108.00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January 2020 the Board of Directors resolved to exercise the authorization under article 4g hereof to issue 116,300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138.82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February 2020 the Board of Directors resolved to exercise the authorization under article 4g hereof to issue 15,000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142,76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10 March 2020 the Board of Directors resolved to exercise the authorization under article 4g hereof to issue 58,900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127.61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May 2020 the Board of Directors resolved to exercise the authorization under article 4g hereof to issue 58,300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137.78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shall be considered as fully exhausted with the consequence that the Board of Directors cannot issue any new warrants per section 4g with effect from 29 May 2020. For clarity, any warrants issued per this section 4g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4h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2030 on one or more occasions to issue warrants to new members of the board of directors of the company or its subsidiaries entitling the cumulative holders to subscribe shares for a total of up to nominal value of DKK 100,000 without pre-emptive rights for the company’s shareholders. The exercise price for the warrants shall be determined by the board of directors in consultation with the company’s advisors and shall at least be equal to the market price of the shares at the time of issuance. The warrants issued pursuant to this authorisation shall be governed by the terms and conditions set out in appendix 1a to articles of association. The board of directors shall determine the distribution of warrants, provided that this authorisation may only be exercised in connection with grants to new members of the board of directors in connection with their first election (i.e. not in connection with re-election for another term) and no single board member shall receive more than 10,000 warrants pursuant to this authorisation.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2030, on one or more occasions to increase the company’s share capital by up to a total nominal value of DKK 100,000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 The board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14 April 2026 the board of directors resolved to exercise the authorization under article 4h hereof to issue 9,160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249.84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4i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27 May 2026 on one or more occasions to issue warrants to members of the Executive Management and employees, advisors and consultants of the Company or its subsidiaries entitling the holder to subscribe shares for a total of up to nominal value of DKK 2,000,000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27 May 2026, on one or more occasions to increase the Company’s share capital by up to a total nominal value of DKK 2,000,000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2,000,000. The board is authorized to cause such shares to be deposited with a depositary bank and the simultaneous issuance of American Depositary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240" w:after="0"/>
        <w:jc w:val="left"/>
        <w:rPr>
          <w:rFonts w:ascii="Times New Roman" w:hAnsi="Times New Roman"/>
          <w:sz w:val="20"/>
        </w:rPr>
      </w:pPr>
      <w:r>
        <w:rPr>
          <w:rFonts w:ascii="Times New Roman" w:hAnsi="Times New Roman"/>
          <w:sz w:val="20"/>
        </w:rPr>
        <w:t xml:space="preserve">On 8 June 2021 the Board of Directors resolved to exercise the authorization under article 4i hereof to issue 14,430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130.83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July 2021 the Board of Directors resolved to exercise the authorization under article 4i hereof to issue 107,935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124.52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August 2021 the Board of Directors resolved to exercise the authorization under article 4i hereof to issue 14,230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125.25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September 2021 the Board of Directors resolved to exercise the authorization under article 4i hereof to issue 28,670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153.54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12 October 2021 the Board of Directors resolved to exercise the authorization under article 4i hereof to issue 15,880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168.74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November 2021 the Board of Directors resolved to exercise the authorization under article 4i hereof to issue 14,220 warrants and to adopt the corresponding increase(s) of the share capital. The authorization has been reduced accordingly. The terms and conditions of the issued warrants have been adopted as Appendix 1 to the articles of association. One warrant confers the right to subscribe nominal DKK 1 share against cash contribution of USD 158.75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December 2021 the board of directors resolved to exercise the authorization under article 4i hereof to issue 1,065,314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139.65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December 2021 the board of directors resolved to exercise the authorization under article 4i hereof to issue 19.770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136.64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January 2022 the board of directors resolved to exercise the authorization under article 4i hereof to issue 22,860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118.88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February 2022 the board of directors resolved to exercise the authorization under article 4i hereof to issue 17,740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123.44 per share of nominal DKK 1 converted into DKK using the official exchange rate between DKK and USD on the exercise day, however no less than DKK 1 per share of nominal DKK 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8 March 2022 the board of directors resolved to exercise the authorization under article 4i hereof to issue 26,350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105.77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April 2022 the board of directors resolved to exercise the authorization under article 4i hereof to issue 37,265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108.84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May 2022 the board of directors resolved to exercise the authorization under article 4i hereof to issue 36,790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82.64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June 2022 the board of directors resolved to exercise the authorization under article 4i hereof to issue 29,810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81.24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July 2022 the board of directors resolved to exercise the authorization under article 4i hereof to issue 12,780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90.06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August 2022 the board of directors resolved to exercise the authorization under article 4i hereof to issue 23,165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93.15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September 2022 the board of directors resolved to exercise the authorization under article 4i hereof to issue 33,270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October 2022 the board of directors resolved to exercise the authorization under article hereof to issue 30,042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November 2022 the board of directors resolved to exercise the authorization under article 4i hereof to issue 24,490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123.91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December 2022 the board of directors resolved to exercise the authorization under article 4i hereof to issue 44,210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122.81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January 2023 the board of directors resolved to exercise the authorization under article 4i hereof to issue 47,365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112.61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February 2023 the board of directors resolved to exercise the authorization under article 4i hereof to issue 36,480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111.00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March 2023 the board of directors resolved to exercise the authorization under article 4i hereof to issue 29,740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109.36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April 2023 the board of directors resolved to exercise the authorization under article 4i hereof to issue 52,210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80.18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9 May 2023 the board of directors resolved to exercise the authorization under article 4i hereof to issue 31,250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97.20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13 June 2023 the board of directors resolved to exercise the authorization under article 4i hereof to issue 77,000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92.93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11 July 2023 the board of directors resolved to exercise the authorization under article 4i hereof to issue 24,220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87.98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8 August 2023 the board of directors resolved to exercise the authorization under article 4i hereof to issue 12,410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94.09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September 2023 the board of directors resolved to exercise the authorization under article 4i hereof to issue 22,430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102.56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10 October 2023 the board of directors resolved to exercise the authorization under article 4i hereof to issue 24,910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93.61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14 November 2023 the board of directors resolved to exercise the authorization under article 4i hereof to issue 12,170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94.70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On 12 December 2023 the board of directors resolved to exercise the authorization under article 4i hereof to issue 10,594 warrants and to adopt the corresponding increase(s) of the share capital. The authorization has been reduced accordingly. The terms and conditions of the issued warrants have been adopted as Appendix 1a to the articles of association. Each warrant confers the right to subscribe nominal DKK 1 share against cash contribution of USD 110.19 per share of nominal DKK 1 converted into DKK using the official exchange rate between DKK and USD on the exercise day, however no less than DKK 1 per share of nominal DKK 1. </w:t>
      </w:r>
    </w:p>
    <w:p>
      <w:pPr>
        <w:pStyle w:val="TextBody"/>
        <w:bidi w:val="0"/>
        <w:spacing w:before="240" w:after="0"/>
        <w:jc w:val="left"/>
        <w:rPr>
          <w:rFonts w:ascii="Times New Roman" w:hAnsi="Times New Roman"/>
          <w:sz w:val="20"/>
        </w:rPr>
      </w:pPr>
      <w:r>
        <w:rPr>
          <w:rFonts w:ascii="Times New Roman" w:hAnsi="Times New Roman"/>
          <w:sz w:val="20"/>
        </w:rPr>
        <w:t xml:space="preserve">This authorisation to issue warrants is as of 12 December 2023 fully exhausted with the consequence that the Board of Directors cannot issue any new warrants under article 4i with effect from 12 December 2023. For clarity, any warrants issued per this article 4i shall remain in full force and effect as per the terms determined by the Board of Directors in connection with such grant of warrants.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4j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in accordance with the Danish Companies Act, Section 169, cf. Section 155, Subsection 2, during the period until 29 May 2029 on one or more occasions to issue warrants to members of the executive management and employees, advisors and consultants of the company or its subsidiary, entitling the holder to subscribe shares for a total of up to nominal value of DKK 1,000,000 without pre-emptive rights for the company’s shareholders. The exercise price for the warrants shall be determined by the board of directors in consultation with the company’s advisors and shall at least be equal to the market price of the shares at the time of issuance. The board of directors shall determine the terms for the warrants issued and the distribution hereof.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 board of directors is authorized in the period until 29 May 2029, on one or more occasions to increase the company’s share capital by up to a total nominal value of DKK 1,000,000 without pre-emptive rights for the existing shareholders by cash payment in order to implement the capital increase related to exercise of the warrants. In accordance with this clause the board of directors may increase the share capital with a minimum nominal value of DKK 1 and a maximum nominal value of DKK 1,000,000. The board of directors is authorized to cause such shares to be deposited with a depositary bank and the simultaneous issuance of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The new shares issued based on exercise of warrants shall be non-negotiable instruments issued in the name of the holder and registered in the name of the holder in the company’s register of shareholders. The new shares shall not have any restrictions as to their transferability and no shareholder shall be obliged to have the shares redeemed fully or partly. No partial payment is allowed. The shares shall be with the same rights as the existing share capital. The new shares shall give rights to dividends and other rights in the company from the time which is determined by the board of directors in connection with the decision to increase the share capital.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shall be issued in the name of the holder and shall be registered in the name of the holder in the company’s register of shareholders. No share certificates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register of owners shall be kept and maintained by Computershare A/S (Company registration CVR no. 27088899).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non-negotiable instruments. </w:t>
      </w:r>
    </w:p>
    <w:p>
      <w:pPr>
        <w:pStyle w:val="TextBody"/>
        <w:bidi w:val="0"/>
        <w:spacing w:before="240" w:after="0"/>
        <w:jc w:val="left"/>
        <w:rPr>
          <w:rFonts w:ascii="Times New Roman" w:hAnsi="Times New Roman"/>
          <w:sz w:val="20"/>
        </w:rPr>
      </w:pPr>
      <w:r>
        <w:rPr>
          <w:rFonts w:ascii="Times New Roman" w:hAnsi="Times New Roman"/>
          <w:sz w:val="20"/>
        </w:rPr>
        <w:t xml:space="preserve">No shareholder shall be obligated to have his shares redeemed in whole or in part by the company or others.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shareholders are entitled to vote their shares differently. Any shareholder shall be entitled to attend in person or be represented by proxy, and both the shareholder and the proxy holder may meet with an advisor. A shareholder may vote by proxy. </w:t>
      </w:r>
    </w:p>
    <w:p>
      <w:pPr>
        <w:pStyle w:val="TextBody"/>
        <w:bidi w:val="0"/>
        <w:spacing w:before="240" w:after="0"/>
        <w:jc w:val="left"/>
        <w:rPr>
          <w:rFonts w:ascii="Times New Roman" w:hAnsi="Times New Roman"/>
          <w:sz w:val="20"/>
        </w:rPr>
      </w:pPr>
      <w:r>
        <w:rPr>
          <w:rFonts w:ascii="Times New Roman" w:hAnsi="Times New Roman"/>
          <w:sz w:val="20"/>
        </w:rPr>
        <w:t xml:space="preserve">The shares can be cancelled out of court in conformity with the legislation applying to non-negotiable securities, in force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Meetings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of the company shall be held in Copenhagen municipality or in the Greater Copenhagen area. The language of the company group is English and general meetings are conducted in English.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shall be convened with a notice of a minimum 2 weeks and a maximum of 4 weeks by publication in the Danish Business Authority’s computerised information system and on the company’s website. A convening notice shall, furthermore, be forwarded in writing to all shareholders recorded in the register of owners who have requested such notification. The convening notice shall contain the agenda for the general meeting. If the agenda contains proposals, the adoption of which require a qualified majority, the convening notice shall contain a specification of such proposals and their material contents.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general meeting shall be held within 5 months after the expiry of the accounting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Proposals from shareholders shall in order to be considered at the annual general meeting be filed in writing with the board of directors at the latest 6 weeks before the annual general meeting. If a motion is filed later than 6 weeks before the general meeting the board of directors decides whether the motion was filed in such timely fashion that the motion can be included on the agenda. </w:t>
      </w:r>
    </w:p>
    <w:p>
      <w:pPr>
        <w:pStyle w:val="TextBody"/>
        <w:bidi w:val="0"/>
        <w:spacing w:before="240" w:after="0"/>
        <w:jc w:val="left"/>
        <w:rPr>
          <w:rFonts w:ascii="Times New Roman" w:hAnsi="Times New Roman"/>
          <w:sz w:val="20"/>
        </w:rPr>
      </w:pPr>
      <w:r>
        <w:rPr>
          <w:rFonts w:ascii="Times New Roman" w:hAnsi="Times New Roman"/>
          <w:sz w:val="20"/>
        </w:rPr>
        <w:t xml:space="preserve">Extraordinary general meetings shall be held according to resolutions by the general meeting or the board of directors or upon written request to the board of directors from one of the elected auditors and if a request is presented by shareholders representing in aggregate at least 1/20 of the share capital. A request from shareholders representing at least 1/20 of the share capital shall specify the proposal to be considered by the general meeting. The general meeting shall in this case be convened within 2 weeks from the date the proposal has been presented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agenda and the complete proposals, and in for annual general meetings also the annual report, shall be made available for review by the company’s shareholders at the latest two weeks prior to the general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left"/>
        <w:rPr>
          <w:rFonts w:ascii="Times New Roman" w:hAnsi="Times New Roman"/>
          <w:sz w:val="20"/>
        </w:rPr>
      </w:pPr>
      <w:r>
        <w:rPr>
          <w:rFonts w:ascii="Times New Roman" w:hAnsi="Times New Roman"/>
          <w:sz w:val="20"/>
        </w:rPr>
        <w:t xml:space="preserve">The agenda of the ordinary general meeting shall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report on the company’s activities during the past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Presentation of annual report with auditor’s report for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3.</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 on application of profits or covering of losses as per the adopted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3"/>
        <w:gridCol w:w="9085"/>
      </w:tblGrid>
      <w:tr>
        <w:trPr/>
        <w:tc>
          <w:tcPr>
            <w:tcW w:w="507"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 of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motions from the board of directors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Miscellaneous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left"/>
        <w:rPr>
          <w:rFonts w:ascii="Times New Roman" w:hAnsi="Times New Roman"/>
          <w:sz w:val="20"/>
        </w:rPr>
      </w:pPr>
      <w:r>
        <w:rPr>
          <w:rFonts w:ascii="Times New Roman" w:hAnsi="Times New Roman"/>
          <w:sz w:val="20"/>
        </w:rPr>
        <w:t xml:space="preserve">At general meetings, each share of DKK 1 shall carry one vote. </w:t>
      </w:r>
    </w:p>
    <w:p>
      <w:pPr>
        <w:pStyle w:val="TextBody"/>
        <w:bidi w:val="0"/>
        <w:spacing w:before="240" w:after="0"/>
        <w:jc w:val="left"/>
        <w:rPr>
          <w:rFonts w:ascii="Times New Roman" w:hAnsi="Times New Roman"/>
          <w:sz w:val="20"/>
        </w:rPr>
      </w:pPr>
      <w:r>
        <w:rPr>
          <w:rFonts w:ascii="Times New Roman" w:hAnsi="Times New Roman"/>
          <w:sz w:val="20"/>
        </w:rPr>
        <w:t xml:space="preserve">The matters discussed at general meetings shall be adopted by a simple majority of votes unless the law or the company’s articles otherwise provide. </w:t>
      </w:r>
    </w:p>
    <w:p>
      <w:pPr>
        <w:pStyle w:val="TextBody"/>
        <w:bidi w:val="0"/>
        <w:spacing w:before="240" w:after="0"/>
        <w:jc w:val="left"/>
        <w:rPr>
          <w:rFonts w:ascii="Times New Roman" w:hAnsi="Times New Roman"/>
          <w:sz w:val="20"/>
        </w:rPr>
      </w:pPr>
      <w:r>
        <w:rPr>
          <w:rFonts w:ascii="Times New Roman" w:hAnsi="Times New Roman"/>
          <w:sz w:val="20"/>
        </w:rPr>
        <w:t>In case of equality of votes the motion shall be deemed annulled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shareholder’s right to attend general meetings and to vote at general meetings is determined on the basis of the shares that the shareholder owns on the registration date. The registration date shall be one week before the general meeting is held. The shares which the individual shareholder owns are calculated on the registration date on the basis of the registration of ownership in the Register of Owners as well as notifications concerning ownership which the company has received with a view to update the ownership in the Register of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any shareholder who is entitled to attend a general meeting and who wishes to attend must have requested an admission card from the Company no later than 3 days in advance of the General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governed by the board of directors, consisting of no less than 3 and no more than 10 board members, elected by the shareholders at the general meeting. The members of the board of directors are elected for a term expiring at the first coming annual general meeting following their election. </w:t>
      </w:r>
    </w:p>
    <w:p>
      <w:pPr>
        <w:pStyle w:val="TextBody"/>
        <w:bidi w:val="0"/>
        <w:spacing w:before="240" w:after="0"/>
        <w:jc w:val="left"/>
        <w:rPr>
          <w:rFonts w:ascii="Times New Roman" w:hAnsi="Times New Roman"/>
          <w:sz w:val="20"/>
        </w:rPr>
      </w:pPr>
      <w:r>
        <w:rPr>
          <w:rFonts w:ascii="Times New Roman" w:hAnsi="Times New Roman"/>
          <w:sz w:val="20"/>
        </w:rPr>
        <w:t xml:space="preserve">Any board member shall retire from the board at the ordinary general meeting following immediately after such member attaining the age of 75.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elect their chairman from their own number.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adopt its own Rules of Procedure and ensure that the company con-ducts its activities in conformity with the articles of association and the legislation in force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chairman shall convene board meetings whenever he finds it necessary, or when any board member or member of management so requests.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shall employ a management consisting of 1-5 members to attend to the day-to-day management of the company, and the board shall determine the terms and conditions of the employment. The management shall perform their duties in accordance with the guidelines and directions issued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Binding Powers: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bound by the chairman of the board of directors and one member of the executive management jointly, by two members of the executive management jointly, or by all members of the board of directors jointly.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issue individual or joint powers of procuration. </w:t>
      </w:r>
    </w:p>
    <w:p>
      <w:pPr>
        <w:pStyle w:val="TextBody"/>
        <w:bidi w:val="0"/>
        <w:spacing w:before="360" w:after="0"/>
        <w:jc w:val="left"/>
        <w:rPr>
          <w:rFonts w:ascii="Times New Roman" w:hAnsi="Times New Roman"/>
          <w:b/>
          <w:sz w:val="20"/>
        </w:rPr>
      </w:pPr>
      <w:r>
        <w:rPr>
          <w:rFonts w:ascii="Times New Roman" w:hAnsi="Times New Roman"/>
          <w:b/>
          <w:sz w:val="20"/>
        </w:rPr>
        <w:t xml:space="preserve">Audit: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240" w:after="0"/>
        <w:jc w:val="left"/>
        <w:rPr>
          <w:rFonts w:ascii="Times New Roman" w:hAnsi="Times New Roman"/>
          <w:sz w:val="20"/>
        </w:rPr>
      </w:pPr>
      <w:r>
        <w:rPr>
          <w:rFonts w:ascii="Times New Roman" w:hAnsi="Times New Roman"/>
          <w:sz w:val="20"/>
        </w:rPr>
        <w:t xml:space="preserve">One state-authorised public accountant, elected by the general meeting for one year at a time, shall audit the company’s annual reports.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Year/Annual Report: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accounting year shall be the calendar year.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shall present a true and fair view of the company’s assets and liabilities, its financial position and results.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annual report and interim reports shall be presented in English language.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Communication: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make use of electronic document exchange and electronic mail (electronic communication) in its communications with shareholders cf. section 92 of the Danish Companies Act. The company may at any time elect to communicate by ordinary mail but is not obligated to do so. </w:t>
      </w:r>
    </w:p>
    <w:p>
      <w:pPr>
        <w:pStyle w:val="TextBody"/>
        <w:bidi w:val="0"/>
        <w:spacing w:before="240" w:after="0"/>
        <w:jc w:val="left"/>
        <w:rPr>
          <w:rFonts w:ascii="Times New Roman" w:hAnsi="Times New Roman"/>
          <w:sz w:val="20"/>
        </w:rPr>
      </w:pPr>
      <w:r>
        <w:rPr>
          <w:rFonts w:ascii="Times New Roman" w:hAnsi="Times New Roman"/>
          <w:sz w:val="20"/>
        </w:rPr>
        <w:t xml:space="preserve">All announcements and documents that pursuant to the company’s articles of association, the Danish Companies Act as well as stock exchange legislation and regulations must be exchanged between the company and the shareholders, including, by example, notices to convene annual or extraordinary general meetings along with agendas and full wordings of proposed resolutions, proxies, interim reports, annual reports, stock exchange announcements, financial calendar and prospectuses, as well as general information from the company to the shareholders may be sent as an attached file by e-mail or by including in an e-mail exact information as to where the document may be downloaded (a link).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request its name-registered shareholders to forward an electronic address which may be used for electronic notices. It is the responsibility of the individual shareholder to ensure that the company is informed of the correct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system requirements and about the procedure for electronic communications can be found on the company’s website www.ascendispharma.com. </w:t>
      </w:r>
    </w:p>
    <w:p>
      <w:pPr>
        <w:pStyle w:val="TextBody"/>
        <w:bidi w:val="0"/>
        <w:spacing w:before="240" w:after="0"/>
        <w:jc w:val="center"/>
        <w:rPr/>
      </w:pPr>
      <w:r>
        <w:rPr/>
        <w:t>—</w:t>
      </w:r>
      <w:r>
        <w:rPr>
          <w:rFonts w:ascii="Times New Roman" w:hAnsi="Times New Roman"/>
          <w:sz w:val="20"/>
        </w:rPr>
        <w:t xml:space="preserve">-oo0oo—- </w:t>
      </w:r>
    </w:p>
    <w:p>
      <w:pPr>
        <w:pStyle w:val="TextBody"/>
        <w:bidi w:val="0"/>
        <w:spacing w:before="240" w:after="0"/>
        <w:jc w:val="left"/>
        <w:rPr>
          <w:rFonts w:ascii="Times New Roman" w:hAnsi="Times New Roman"/>
          <w:i/>
          <w:sz w:val="20"/>
        </w:rPr>
      </w:pPr>
      <w:r>
        <w:rPr>
          <w:rFonts w:ascii="Times New Roman" w:hAnsi="Times New Roman"/>
          <w:i/>
          <w:sz w:val="20"/>
        </w:rPr>
        <w:t xml:space="preserve">Most recently updated as per 14 July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1 to the Articles of Association of Ascendis Pharma A/S </w:t>
      </w:r>
    </w:p>
    <w:p>
      <w:pPr>
        <w:pStyle w:val="TextBody"/>
        <w:bidi w:val="0"/>
        <w:spacing w:before="0" w:after="0"/>
        <w:jc w:val="left"/>
        <w:rPr/>
      </w:pPr>
      <w:r>
        <w:rPr/>
        <w:t> </w:t>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and board members of Ascendis Pharma and its subsidiaries (hereinafter collectively referred to as “Owners”). The scheme is based on issuance of options, also called warrants (hereinafter only referred to as “warrants”), which are not subject to payment. Where below in clause 3 and 4 terms for vesting and exercise of warrants are described as being dependent upon employment or service with Ascendis Pharma, this shall be understood as a reference to the relevant subsidiary by which the Owner is employed or provides services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issue shall correspond to the closing price of Ascendis Pharma’s American Depositary Shares (hereafter “ADS”) as quoted on NASDAQ on the day of issuance by the Board of Directors. Each warrant carries the right to subscribe for nominal DKK 1 ordinary share in Ascendis Pharma at the exercise price determined by the Board of Directors at the date of issuance. So long as Ascendis Pharma’s ADSs are quoted on NASDAQ, the Ordinary Shares received upon subscription through exercise of warrants may generally be deposited with the custodian of the depositary for the Company’s ADSs in exchange for ADSs representing the Ordinary Shares deposited, subject to certain conditions and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and board members of Ascendis Pharma and in its subsidiaries at the discretion of the Board of Directors after suggestion from the management and the Remuneration Committee of Ascendis Pharma. The number of warrants offered to each Owner shall be based on an individual evaluation of the Owner’s duties.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issue of warrants. Thus, the warrants are issued and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sign a warrant certificate with this Appendix 1 attached.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issued and granted to the Owner free of 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employees and consultants, the Owner earns the right to keep and exercise the warrants (i.e., such warrants shall vest) with respect to 1/48th of the ordinary shares covered by the warrants on each monthly anniversary of the date of grant of the warrants covered by this Appendix 1, subject to clause 3.3 below. In relation to board members, the Owner earns the right to keep and exercise the warrants with respect to 1/48th of the ordinary shares covered by the warrants on each monthly anniversary of the date of the initial grant after joining the Board of Directors and with respect to 1/24th of the ordinary shares covered by the warrants on each monthly anniversary of the date of grant for any subsequent 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vest to the extent the Owner is employed by Ascendis Pharma, cf. however clause 3.4 to 3.9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not a result of breach of the employment terms by Ascendis Pharma, or in the event that Ascendis Pharma terminates the employment contract and the Owner has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the vesting of the Owner’s warrants shall cease from the time the employment is terminated, meaning from the first day when the Owner is no longer entitled to salary from Ascendis Pharma, notwithstanding that the Owner has actually ceased to perform his/her duties at an earlier date. In addition hereto the Owner’s eligibility,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 contract and the termination is a result of breach of the employment terms by Ascendis Pharma, or in the event that Ascendis Pharma terminates the employment contract and the Owner has not given Ascendis Pharma good reason to do so (provided that, in the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then warrants shall continue to vest as if the Owner was still employed by Ascendis Pharma.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Owner materially breach the terms of the employment, the vesting of warrants shall cease from the date when the Owner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termination date of the board membership regardless of the reason therefor, unless otherwise determined by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may be exercised during in four exercise periods each year. Each exercise period begins 2 full trading days after the publication of the public release of earnings data of a fiscal quarter of Ascendis Pharma and runs until the end of the second to last trading day in which quarter the relevant earnings release is published.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in principle conditional upon the Owner’s status as an employee, consultant or board member of Ascendis Pharma at the time when warrants are exercised. In case of termination of the employment/consultancy relationship or board membership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09"/>
        <w:gridCol w:w="9090"/>
      </w:tblGrid>
      <w:tr>
        <w:trPr/>
        <w:tc>
          <w:tcPr>
            <w:tcW w:w="506"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employment/consultancy relationship or board membership and the Owner has given Ascendis Pharma good reason to do so, the Owner is only entitled to exercise the warrants vested at the time of termination (however, in case that the Owner is covered by the Danish Act No. 309 of May 5th, 2004 regarding the use of stock options etc. in employment relationships, Ascendis Pharma shall only be deemed to have terminated the Owner’s employment with good reason to the extent the termination is made due to the Owner’s breach of his/her employment relationship).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Exercise shall take place during the first coming exercise period after termination of the employment/consultancy relationship or board membership, however the Owner shall always have a minimum of 3 months from the date of termination to decide if warrants shall be exercised. To the extent that the first coming exercise period commences within 3 months from the date of actual termination the Owner shall be entitled to exercise the warrants in the exercise period following the first coming exercise period. All vested warrants not exercised by the Owner according to this clause shall become null and void without further notice or compensation or payment of any kind.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Owner terminates the employment/consultancy relationship or the board membership, or in the event that Ascendis Pharma terminates the employment/consultancy relationship or board membership and the Owner has not given Ascendis Pharma good reason to do so, the Owner is entitled to exercise the warrants as if the employment/consultancy relationship or board membership continued unchanged. Exercise shall take place in accordance with the general terms and conditions regarding exercise of warrants stipulated in clause 4.1. This provision shall apply if the employment relationship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issued warrants whether or not they have been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Owners’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287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0225"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5737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57375"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Umax = 10 per cent of the equity capital,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5.9 - 5.11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5.9 - 5.11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issue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Owner’s salary, and any agreement made between the Owner and Ascendis Pharma regarding pension or the like shall therefore not include the value of the Owner’s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1a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options, also referred to as warrants, which are granted to employees, consultants and board members in Ascendis Pharma A/S and its subsidiaries as of 9 December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introduced an incentive scheme for employees, consultants and board members of Ascendis Pharma and its subsidiaries. (hereinafter collectively referred to as “Owners”). The scheme is based on grant of options, also called warrants (hereinafter only referred to as “warrants”), which are not subject to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determined by the Board of Directors at the time of grant, shall correspond to the closing price of Ascendis Pharma’s American Depositary Shares (hereafter “ADS”) as quoted on NASDAQ on the day of issuance by the Board of Directors. Each warrant carries the right to subscribe for nominal DKK 1 ordinary share in Ascendis Pharma at the exercise price determined by the Board of Directors at the date of issuance. So long as Ascendis Pharma’s ADSs are quoted on NASDAQ, the Ordinary Shares received upon subscription through exercise of warrants may generally be deposited with the custodian of the depositary for the Company’s ADSs in exchange for ADSs representing the Ordinary Shares deposited, subject to certain conditions and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granted at the discretion of the Board of Directors following recommendation from the management and the Remuneration Committee of Ascendis Pharma. The number of warrants offered to each Owner shall be based on an individual evaluation of the Owner’s duties or other association with Ascendis Pharma and/or its subsidiaries.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are not granted due to work already performed by the Owners, but are granted in order to motivate the Owners, as described below, during the years following the date of grant of warrants. Thus, the warrants are granted in order to increase and motivate the Owners’ focus on a positive development of the market price of the ordinary shares of Ascendis Pharma and to motivate the Owners to work for a future value increase in Ascendis Pharma and its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 who wish to receive the offered warrants shall electronically accept a warrant certificate with this Appendix 1a attached.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are granted to the Owner free of charge.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and consultants, 25% of the warrants granted shall vest one year after the time of grant, and the remaining 75% of the warrants granted shall vest with 1/36 per month from one year after the time of grant, subject to clause 3.4 below. As regards warrants which board members are granted in connection with appointment, 25% of the warrants granted shall vest one year after the time of the grant (the initial grant after the board member’s accession), and the remaining 75% of the warrants granted shall vest with 1/36 per month from one year after the time of the grant, subject to clause 3.5 below. Regarding any subsequent grants of warrants to board members (“Subsequent Warrants”) 50 % of the Subsequent Warrants shall vest one year after the time of such subsequent grant and the remaining 50 % of the Subsequent Warrants shall vest with 1/12 per month from one year after the time of such subsequent grant, subject to clause 3.5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regards accelerated vesting of warrants in connection with liquidation, merger, demerger, sale or delisting of Ascendis Pharma reference is made to clauses 5.9, 5.10, 5.11 and 5.12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vesting on a given vesting date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employees, the warrants shall only vest while the employee remains an employee of Ascendis Pharma or its subsidiaries, cf. however clause 3.8. Employment shall mean that the employee is still entitled to receive a salary from Ascendis Pharma or its subsidiaries on the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board members, the vesting shall cease on the day when the board member resigns from his duties as a board member regardless of the reason therefore.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consultants, the vesting shall cease on the termination date of the consultancy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Owner takes leave – other than maternity or paternity leave – and the leave exceeds 60 days, the dates when the warrants vest shall be postponed by a period corresponding to the duration of the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may at its sole discretion and on an individual basis decide to deviate from the vesting principles in clause 3.1 and/or the vesting conditions in clause 3.4– 3.7.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vested warrants can be exercised. Warrants may be exercised during four exercise periods each year. Each exercise period begins two full trading days after the public release of the earnings report of a fiscal quarter of Ascendis Pharma and runs until the end of the second to last trading day in which quarter the relevant earnings report is published.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 exercise of warrants is not dependent on whether the Owner’s status as an employee, consultant or board member of Ascendis Pharma or its subsidiaries, as applicable, has ceased at the time when warrants are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termination of the employment/consultancy relationship or board membership as a result of Ascendis Pharma’s justified dismissal of the Owner, the Owner shall however, only be entitled to exercise vested warrants in the first coming exercise period after termination of the employment/consultancy relationship or board membership (“First Coming Exercise Period”). To the extent that the First Coming Exercise Period commences within 3 months from the day of termination, the Owner shall be entitled to exercise vested warrants in the exercise period following the First Coming Exercise Period. All vested warrants not exercised by the Owner according to this clause shall become null and void without further notice or compensation or payment of any kind.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employment/consultancy relationship or board membership is terminated due to the death of the Owner, the estate of the Owner is entitled to exercise the granted warrants whether or not they have vested at the time of the death as if the employment/consultancy relationship or board membership continued unchanged, on the condition that exercise shall take place in accordance with the general terms and conditions regarding exercise of warrants stipulated in clause 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warrants shall require an adjustment of the warrants in accordance with this clause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upon such a change in Ascendis Pharma’s capital structure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board members, advisors and consultants) as well as future exercise of such options and/or warrants. The same applies in relation to Ascendis Pharma’s issue of other instruments convertible or exchangeable into or otherwise conferring a right to receive shares provided that such instruments were convertible and/or exchangeable at market price at the time of issuance of such instruments. Warrants shall, furthermore, not be adjusted as a result of a capital increase following warrantholders’ exercise of warrants in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525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252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(not including market-based discounts in connection with directed offerings) (in relation to capital decreases also above the market price),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66875" cy="3714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24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T</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13347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33475" cy="3905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SYMBOL" w:hAnsi="SYMBOL"/>
          <w:sz w:val="20"/>
        </w:rPr>
        <w: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09"/>
        <w:gridCol w:w="9087"/>
      </w:tblGrid>
      <w:tr>
        <w:trPr/>
        <w:tc>
          <w:tcPr>
            <w:tcW w:w="509"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number of shares does not amount to a whole number, the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00225"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00225" cy="4000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9"/>
        <w:gridCol w:w="9078"/>
      </w:tblGrid>
      <w:tr>
        <w:trPr/>
        <w:tc>
          <w:tcPr>
            <w:tcW w:w="508" w:type="dxa"/>
            <w:tcBorders/>
            <w:vAlign w:val="center"/>
          </w:tcPr>
          <w:p>
            <w:pPr>
              <w:pStyle w:val="TableContents"/>
              <w:bidi w:val="0"/>
              <w:spacing w:before="0" w:after="283"/>
              <w:jc w:val="left"/>
              <w:rPr/>
            </w:pPr>
            <w:r>
              <w:rPr/>
              <w:t> </w:t>
            </w:r>
          </w:p>
        </w:tc>
        <w:tc>
          <w:tcPr>
            <w:tcW w:w="619" w:type="dxa"/>
            <w:tcBorders/>
          </w:tcPr>
          <w:p>
            <w:pPr>
              <w:pStyle w:val="TableContents"/>
              <w:bidi w:val="0"/>
              <w:spacing w:before="0" w:after="283"/>
              <w:jc w:val="left"/>
              <w:rPr/>
            </w:pPr>
            <w:r>
              <w:rPr/>
              <w:t>Umax</w:t>
            </w:r>
          </w:p>
        </w:tc>
        <w:tc>
          <w:tcPr>
            <w:tcW w:w="90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Liquidation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all non-exercised warrants shall be changed so that the Owner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surviving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non-surviving company or is demerged, the Board of Directors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merger/demerger,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surviving company/companies of a corresponding financial pre-tax value shall replace the warrants. On a demerger the surviving companies may decide in which company/companies the Owners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 may exercise all non-exercised warrants that are not declared null and void (inclusive of warrants not yet vested) immediately before the sale/swap of shares. Furthermore, the Owner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granted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Delisting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delisting of Ascendis Pharma the Board of Directors may in its sole discretion decide that vesting is accelerated for all not fully vested warrants to a date immediately prior to the delisting.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clause 5.9—5.12</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case of one of the transactions mentioned above, Ascendis Pharma shall inform the Owner hereof by written notice. Upon receipt of the written notice, the Owner shall have 2 weeks – in cases where the Owner may extraordinarily exercise warrants, see clause 5.9—5.12 – to inform Ascendis Pharma in writing whether he/she will make use of the offer. If the Owner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Owner’s rights in connection with decisions made by any competent company body, see clause 5.9—5.12,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Granted warrants shall not be subject to charging orders, transfers of any kind, including in connection with division of property on divorce or legal separation, for ownership or as security without the consent of the Board of Directors. The Owner’s warrants may, however, be transferred to the Owner’s spouse/cohabitant and/or heir of the body in the event of the Owner’s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lapse automatically, without prior notice and without compensation of any kind on the tenth (10th) anniversary of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granted warrants must be made through submission by the Owner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concurrent with the delivery of the exercise notice and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7.2 expires as a result of Ascendis Pharma not having received the filled-in exercise notice or the payment by 16:00 CET of the last day of the exercise period, the subscription shall be deemed invalid, and in this situation the Owner shall not be considered as having exercised his/her warrants for a possible subsequent exercise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granted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611"/>
        <w:gridCol w:w="9088"/>
      </w:tblGrid>
      <w:tr>
        <w:trPr/>
        <w:tc>
          <w:tcPr>
            <w:tcW w:w="506"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Owner and shall be registered in the name of the Owner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grant of warrants and the related capital increase are estimated to be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warrants will not form part of the calculation of holiday allowances, pension contributions or other contributions or payments, which are based on the Owner’s renumeration from Ascendis Pharma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Owner on the basis of the value of warrants, the exercise price shall be increased in order to compensate Ascendis Pharma for the amounts that have been paid to the Owner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Owners shall not in any way obligate Ascendis Pharma to maintain the employment or other service relationship of the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10.</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Owner’s subscription for or exercise of warrants shall be of no concern to Ascendis Pharma.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Owner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2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authorisation in the articles of association for Ascendis Pharma A/S, the Board of Directors has resolved that the following terms and conditions shall apply to warrants which are granted to employees, consultants, advisors and board members according to the authorisation: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A/S (hereinafter “Ascendis Pharma”) has decided to introduce an incentive scheme for employees, consultants, advisors and board members in Ascendis Pharma and its subsidiaries (hereinafter collectively referred to as “Warrantholders”). The scheme is based on issuance of options, also called warrants (hereinafter only referred to as “warrants”), which are not subject to payment. Where below in clause 3.4 – 3.7 and clause 4.5 - 4.6 terms for vesting etc. are described as being dependant upon employment/affiliation with Ascendis Pharma, this shall be understood as a reference to the relevant subsidiary by which the Warrantholders is employed/affiliated.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warrant is a right, but not an obligation, during fixed periods (exercise periods) to subscribe for new ordinary shares in Ascendis Pharma at a price fixed in advance (the exercise price). The exercise price, which shall correspond to the market price at the date of issuance, shall be determined by the board of directors. Each warrant carries the right to subscribe for nominal DKK 1 ordinary share in Ascendis Pharma at the subscription price determined by the board of directors at the date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will be offered to employees, consultants, advisors and board members in Ascendis Pharma and in its subsidiaries at the discretion of the Board of Directors after suggestion from the management of Ascendis Pharma A/S. The number of warrants offered to each individual shall be based on an individual evaluation of the Warrantholder’s duties. It shall appear from the individual Warrantholder’s warrant certificate how many warrants have been granted to the Warrantholder and what the exercise price for the warrant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GRANTING/SUBSCRIPTION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Warrantholders who wish to subscribe the offered warrants shall sign a Warrant Certificate with this Appendix 2 attached and, to the extent required by the Board of Directors, a Shareholders Agreement regulating the relationship between the Warrantholders and Ascendis Pharma’s other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granting of warrants shall not be subject to payment from the Warrantholders.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keep records of granted warrants and update the records at suitable intervals.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warrants shall be vested with 1/48 per month from the date of grant of the warrants covered by this Appendix 2. The board may have determined a different vesting period in its decision to issue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Ascendis Pharma before 1/1 2014 merges as the terminating company or is split, cf. clause 5.10 or if more than 50 per cent of the share capital in Ascendis Pharma no later than 1/1 2014 is sold or is part of a share swap, cf. clause 5.11 (defined as an “Exit-event”), then 50% of the warrants not already vested on the time of the Exit-event shall vest at the time of the Exit-event.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Exit-event occurs on or after 1/1 2014, then all warrants not vested at the time of the Exit-event shall be deemed 100% for vested at the time of the Exit-event.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stipulated fraction does not amount to a whole number of warrants, the number shall be rounded down to the nearest whole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only be vested to the extent the Warrantholder is employed by Ascendis Pharma, cf. however clause 3.5 to 3.7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not a result of breach of the employment terms by Ascendis Pharma, and in the event that Ascendis Pharma terminates the employment contract and the Warrantholder has given Ascendis Pharma good reason to do so, then the vesting of warrants shall cease from the time the employment is terminated, meaning from the first day when the Warrantholder is no longer entitled to salary from Ascendis Pharma, notwithstanding that the Warrantholder has actually ceased to perform his/her duties at an earlier date. In addition hereto the Warrantholder’s right, if any, to receive warrants granted after termination of the employment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terminates the employment contract and the termination is a result of breach of the employment terms by Ascendis Pharma, or in the event that Ascendis Pharma terminates the employment contract and the Warrantholder having not given Ascendis Pharma good reason to due so, then warrants shall continue to vest as if the Warrantholder was still employed by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Warrantholder materially breach the terms of the employment, the vesting of warrants shall cease from the date when the Warrantholder is dismissed due to the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issued to consultants, advisors and board members only vest to the extent that the consultant, advisor or board member acts on behalf of Ascendis Pharma as a consultant, advisor or board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takes leave – other than maternity leave – and the leave exceeds 60 days, the dates when the warrants shall be vested shall be postponed by a period corresponding to the duration of the leave.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 warrant has been vested, it may be exercised during the exercise periods. Vested warrants may be exercised in two annual exercise periods that run for 21 days from and including the day after the publication of (i) the annual report notification—or if such notification is not published—the annual report and (ii) our interim report (six-month report). The last exercise period is 21 days from and including the day after the publication of Ascendis Pharmas interim report for the first half of 2023.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Warrants granted on 26 November 2014 may be exercised in four annual exercise periods that run for 21 days from and including the day after publication of (i) the interim report (three-month report); (ii) the annual report notification—or if such notification is not published—the annual report; (iii) the interim report (six-month report); and (iv) our interim report (nine-month report). For these warrants the last exercise period is 21 days following the publication of our interim report (nine-month report) in 2023. </w:t>
      </w:r>
    </w:p>
    <w:p>
      <w:pPr>
        <w:pStyle w:val="TextBody"/>
        <w:bidi w:val="0"/>
        <w:spacing w:before="120" w:after="0"/>
        <w:jc w:val="left"/>
        <w:rPr>
          <w:rFonts w:ascii="Times New Roman" w:hAnsi="Times New Roman"/>
          <w:sz w:val="20"/>
        </w:rPr>
      </w:pPr>
      <w:r>
        <w:rPr>
          <w:rFonts w:ascii="Times New Roman" w:hAnsi="Times New Roman"/>
          <w:sz w:val="20"/>
        </w:rPr>
        <w:t xml:space="preserve">All warrants issued may, additionally, be exercised in an extraordinary exercise period which commences upon Ascendis Pharma’s announcement of its financial interim report for the first quarter of 2015 and which expires 21 days thereafter. In the event that Ascendis Pharma is not obligated to and does in fact not announce a financial interim report for the first quarter of 2015 the exercise period shall lapse.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last day of an exercise period is Saturday or Sunday, the exercise period shall also include the first weekday following the stipulated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warrants have been vested, the Warrantholder shall be free to choose, which exercise period to apply for the vested warrants, cf. however, clause 4.5 below regarding material breach. It is, however, a condition for exercise that the Warrantholder in a given exercise period exercises warrants, which give a right to subscribe minimum nominal DKK 100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further notice or compensation or payment of any kind to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4.5</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Warrantholder’s exercise of warrants is in principle conditional upon the Warrantholder being employed in Ascendis Pharma at the time when warrants are exercised. In case of termination of the employment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Ascendis Pharma terminates the employment contract and the Warrantholder having given Ascendis Pharma good reason to do so, the Warrantholder is only entitled to exercise the warrants vested at the time of termination. Exercise shall take place during the first coming exercise period after termination of the employment, however the Warrantholder shall always have minimum 3 months from the date of termination to decide if warrants shall be exercised. To the extent that the first coming exercise period commences within 3 months from the date of actual termination the Warrantholder shall be entitled to exercise the warrants in the exercise period following the first coming exercise period. All vested warrants not exercised by the Warrantholder according to this clause shall become null and void without further notice or compensation or payment of any kind.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Warrantholder terminate the employment, or in the event that Ascendis Pharma terminates the employment contract and the Warrantholder have not given Ascendis Pharma good reason to do so, the Warrantholder is entitled to exercise the warrants as if the Warrantholder were still employed with Ascendis Pharma. Exercise shall take place in accordance with the general terms and conditions regarding exercise of warrants stipulated in clause 4.1 – 4.5. This provision shall apply if the employment contract is terminated due to retirement.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as a consequence of summary dismissal of the Warrantholder on grounds of material breach, all warrants not exercised at that time shall become null and void without notice or compensation. If the material breach is committed prior to the dismissal the vesting and the right to exercise warrants shall be deemed to have ceased at the time of the material breach. The Warrantholder shall in this case, after demand from Ascendis Pharma, be obligated to sell to Ascendis Pharma shares which have been subscribed though exercise of warrants, after the date of the material breach. The shares shall be sold at a price corresponding to the subscription price paid by the Warrantholder.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employment is terminated due to the death of the Warrantholder all warrants not exercised by the Warrantholder shall become null and void. However, the Ascendis Pharma Board of Directors may grant an exemption from this provision to enable the estate of the Warrantholder to exercise the issued warrants whether they have been vested at the time of the death or not on the condition that exercise be effected during the first exercise period commencing after the 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4.6</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Warrantholder is a consultant, advisor or board member the exercise of warrants is in principle conditional upon the Warrantholder being connected to Ascendis Pharma in this capacity at the time when warrants are exercised. In case that the consultant’s, advisor’s or board member’s relationship with Ascendis Pharma should cease without this being attributable to the Warrantholder’s actions or omissions the Warrantholder shall be entitled to exercise vested warrants in the exercise periods set forth in clause 4.1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Pharma’s board of directors is in the event of a listing of the company’s shares on a stock exchange entitled at its discretion to change the exercise periods in order to coordinate these with applicable rules for insider trading. Unless the Board of Directors resolves otherwise the exercise periods shall in the event of a listing be changed to two 21 day periods after respectively the annual report notification and the interim report (six months) and for warrants issued in November 2014 to up to four 21 day periods immediately following the annual report notification and the interim report (six months) and the quarterly reports.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Ascendis Pharma’s capital structure causing a change of the potential possibility of gain attached to a warrant shall require an adjustment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shall be made so that the potential possibility of gain attached to a warrant, in so far as possible, shall remain the same before and after the occurrence of an incident causing the adjustment. The adjustment shall be carried out with the assistance of Ascendis Pharma’s external advisor. The adjustment may be effected either by increase or reduction of the number of shares that can be issued following exercise of a warrant and/or an increase or reduction of 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shall not be adjusted as a result of Ascendis Pharma’s issue of employee shares, share options and/or warrants as part of employee share option schemes (including options to Directors, advisors and consultants) as well as future exercise of such options and/or warrants. Warrants shall, furthermore, not be adjusted as a result of capital increases following the Warrantholders’ and others’ exercise of warrants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Bonus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issue bonus shares in Ascendis Pharma,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warrant not yet exercised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40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38250" cy="4095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warrants not yet exercised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nominal share capital before issue of bonus shares, and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total nominal value of bonus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of capital at a price different from the market price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increase or reduce the share capital in Ascendis Pharma at a price below the market price (in relation to capital decreases also above the market price), warrants shall be adjusted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695450"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954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share capital before the change in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change in the share capital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K</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= market price / closing price of the share on the day prior to the announcement of the change in the share capital, and </w:t>
            </w:r>
          </w:p>
        </w:tc>
      </w:tr>
    </w:tbl>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T</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= subscription price/reduction price in relation to the change in the 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Changes in the nominal value of each individual share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change the nominal value of the shares, warrants shall be adjusted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for each non-exercised warrant shall be multiplied by the factor: </w:t>
      </w:r>
    </w:p>
    <w:p>
      <w:pPr>
        <w:pStyle w:val="TextBody"/>
        <w:bidi w:val="0"/>
        <w:spacing w:before="0" w:after="0"/>
        <w:jc w:val="left"/>
        <w:rPr/>
      </w:pPr>
      <w:r>
        <w:rPr/>
        <w:t> </w:t>
      </w:r>
    </w:p>
    <w:p>
      <w:pPr>
        <w:pStyle w:val="TextBody"/>
        <w:bidi w:val="0"/>
        <w:spacing w:before="0" w:after="0"/>
        <w:jc w:val="left"/>
        <w:rPr/>
      </w:pPr>
      <w:r>
        <w:rPr/>
        <w:drawing>
          <wp:inline distT="0" distB="0" distL="0" distR="0">
            <wp:extent cx="1238250"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and the number of non-exercised warrants shall be multiplied by the factor: </w:t>
      </w:r>
    </w:p>
    <w:p>
      <w:pPr>
        <w:pStyle w:val="TextBody"/>
        <w:bidi w:val="0"/>
        <w:spacing w:before="120" w:after="0"/>
        <w:jc w:val="left"/>
        <w:rPr>
          <w:rFonts w:ascii="Times New Roman" w:hAnsi="Times New Roman"/>
          <w:sz w:val="20"/>
        </w:rPr>
      </w:pPr>
      <w:r>
        <w:rPr>
          <w:rFonts w:ascii="Times New Roman" w:hAnsi="Times New Roman"/>
          <w:sz w:val="20"/>
          <w:u w:val="single"/>
        </w:rPr>
        <w:t>1</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α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after the change, and </w:t>
            </w:r>
          </w:p>
        </w:tc>
      </w:tr>
    </w:tbl>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= nominal value of each share before the 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and/or the adjusted number of shares does not amount to whole numbers, each number shall be rounded down to the nearest whole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Payment of dividend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it is decided to pay dividends, the part of the dividends exceeding 10 per cent of the equity capital shall lead to adjustment of the exercise price according to the following formula: </w:t>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381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66900" cy="3810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adjusted exercise price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= the original exercise price </w:t>
            </w:r>
          </w:p>
        </w:tc>
      </w:tr>
    </w:tbl>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U</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= dividends paid out </w:t>
            </w:r>
          </w:p>
        </w:tc>
      </w:tr>
    </w:tbl>
    <w:tbl>
      <w:tblPr>
        <w:tblW w:w="5000" w:type="pct"/>
        <w:jc w:val="left"/>
        <w:tblInd w:w="0" w:type="dxa"/>
        <w:tblLayout w:type="fixed"/>
        <w:tblCellMar>
          <w:top w:w="0" w:type="dxa"/>
          <w:left w:w="0" w:type="dxa"/>
          <w:bottom w:w="0" w:type="dxa"/>
          <w:right w:w="0" w:type="dxa"/>
        </w:tblCellMar>
      </w:tblPr>
      <w:tblGrid>
        <w:gridCol w:w="508"/>
        <w:gridCol w:w="645"/>
        <w:gridCol w:w="9052"/>
      </w:tblGrid>
      <w:tr>
        <w:trPr/>
        <w:tc>
          <w:tcPr>
            <w:tcW w:w="508" w:type="dxa"/>
            <w:tcBorders/>
            <w:vAlign w:val="center"/>
          </w:tcPr>
          <w:p>
            <w:pPr>
              <w:pStyle w:val="TableContents"/>
              <w:bidi w:val="0"/>
              <w:spacing w:before="0" w:after="283"/>
              <w:jc w:val="left"/>
              <w:rPr/>
            </w:pPr>
            <w:r>
              <w:rPr/>
              <w:t> </w:t>
            </w:r>
          </w:p>
        </w:tc>
        <w:tc>
          <w:tcPr>
            <w:tcW w:w="645" w:type="dxa"/>
            <w:tcBorders/>
          </w:tcPr>
          <w:p>
            <w:pPr>
              <w:pStyle w:val="TableContents"/>
              <w:bidi w:val="0"/>
              <w:spacing w:before="0" w:after="283"/>
              <w:jc w:val="left"/>
              <w:rPr/>
            </w:pPr>
            <w:r>
              <w:rPr/>
              <w:t>Umax</w:t>
            </w:r>
          </w:p>
        </w:tc>
        <w:tc>
          <w:tcPr>
            <w:tcW w:w="90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= 10 per cent of the equity capital, and </w:t>
            </w:r>
          </w:p>
        </w:tc>
      </w:tr>
    </w:tbl>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= total number of shares in Ascendis Pharma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adjusted exercise price does not amount to a whole number, it shall be rounded down to the nearest whole number. </w:t>
      </w:r>
    </w:p>
    <w:p>
      <w:pPr>
        <w:pStyle w:val="TextBody"/>
        <w:bidi w:val="0"/>
        <w:spacing w:before="120" w:after="0"/>
        <w:jc w:val="left"/>
        <w:rPr>
          <w:rFonts w:ascii="Times New Roman" w:hAnsi="Times New Roman"/>
          <w:sz w:val="20"/>
        </w:rPr>
      </w:pPr>
      <w:r>
        <w:rPr>
          <w:rFonts w:ascii="Times New Roman" w:hAnsi="Times New Roman"/>
          <w:sz w:val="20"/>
        </w:rPr>
        <w:t xml:space="preserve">The equity capital that shall form the basis of the adjustment above is the equity capital stipulated in the Annual Report to be adopted at the General Meeting where dividends shall be approved before allocation hereof has been made in the Annual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changes in Ascendis Pharma’s capital position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other changes in Ascendis Pharma’s capital position causing changes to the financial value of warrants, warrants shall (save as provided above) be adjusted in order to ensure that the changes do not influence the financial value of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calculation method to be applied to the adjustment shall be decided by an external advisor appointed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emphasized that increase or reduction of Ascendis Pharma’s share capital at market price does not lead to an adjustment of the subscription price or the number of shares to be subscribed.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Winding-up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Should Ascendis Pharma be liquidated, the vesting time for </w:t>
      </w:r>
      <w:r>
        <w:rPr>
          <w:rFonts w:ascii="Times New Roman" w:hAnsi="Times New Roman"/>
          <w:sz w:val="20"/>
          <w:u w:val="single"/>
        </w:rPr>
        <w:t>all</w:t>
      </w:r>
      <w:r>
        <w:rPr>
          <w:rFonts w:ascii="Times New Roman" w:hAnsi="Times New Roman"/>
          <w:sz w:val="20"/>
        </w:rPr>
        <w:t xml:space="preserve"> non-exercised warrants shall be changed so that the Warrantholder may exercise his/her warrants in an extraordinary exercise period immediately preceding the relevant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Merger and split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Ascendis Pharma merges as the continuing company, warrants shall remain unaffected unless, in connection with the merger, the capital is increased at a price other than the market price and in that case warrants shall be adjusted in accordance with clause 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Ascendis Pharma merges as the terminating company or is split, the continuing company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(inclusive of warrants not yet vested) immediately before the merger/split,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 instruments in the continuing company/companies of a corresponding financial pre-tax value shall replace the warrants. On split the continuing companies may decide in which company/companies the Warrantholders shall receive the new share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5.11</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exchange of shares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more than 50 per cent of the share capital in Ascendis Pharma is sold or is part of a share swap, Ascendis Pharma may choose one of the following possibilities: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instruments in the acquiring company of a corresponding pre-tax value shall replace the issued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5.12</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provisions regarding 5.9-5.11</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one of the transactions mentioned above is made, Ascendis Pharma shall inform the Warrantholder hereof by written notice. Upon receipt of the written notice, the Warrantholder shall have 2 weeks – in cases where the Warrantholder may extraordinarily exercise warrants, see 5.9-5.11 – to inform Ascendis Pharma in writing whether he/she will make use of the offer. If the Warrantholder has not answered Ascendis Pharma in writing within the limit of 2 weeks or fails to pay within the fixed time, warrants shall become null and void without further notice 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Warrantholder’s rights in connection with decisions made by any competent company body, see clause 5.9-5.11, shall be contingent on subsequent registration of the relevant decision with the Danish Business Authority provided that registration is a condition of its validity.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 EXCHANGE LISTING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TRANSFER, PLEDGE AND ENFORCEMENT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at any time applicable shareholders’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SUBSCRIPTION FOR NEW SHARES BY EXERCISE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Subscription for new shares by exercise of issued warrants must be made through submission by the Warrantholder </w:t>
            </w:r>
            <w:r>
              <w:rPr>
                <w:rFonts w:ascii="Times New Roman" w:hAnsi="Times New Roman"/>
                <w:sz w:val="20"/>
                <w:u w:val="single"/>
              </w:rPr>
              <w:t>no later than</w:t>
            </w:r>
            <w:r>
              <w:rPr>
                <w:rFonts w:ascii="Times New Roman" w:hAnsi="Times New Roman"/>
                <w:sz w:val="20"/>
              </w:rPr>
              <w:t xml:space="preserve"> the last day of the relevant exercise period at 16:00 CET to Ascendis Pharma of an exercise notice drafted by Ascendis Pharma. The exercise notice shall be filled in with all information. The company must have received the exercise price for the new shares, payable as a cash contribution, by the last day of the relevant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limitation period set forth in clause 8.1 expires as a result of Ascendis Pharma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not exercised by the Warrantholder during the last exercise period shall become null and void without notice or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capital increase caused by exercise of warrants has been registered with the Danish Business Authority, the Warrantholder shall receive proof of his shareholding in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RIGHTS OF NEW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shares subscribed for by exercise of issued warrants shall in every respect have the same rights as the present shares in Ascendis Pharma in accordance with the Articles of Association for Ascendis Pharma in force from time to time. For the time being, the following shall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Ascendis Pharma’s shareholders shall hold no pre-emptive rights to subscribe for new shares issued on the basis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face value of each share shall be DKK 1 or multiples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shares shall be non-negotiable instruments issued in the name of the holder and shall be registered in the name of the holder in Ascendis Pharma’s register of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new shares issued as a result of exercise of warrants shall carry the right to dividend and other rights in Ascendis Pharma from the time of registration of the capital increase with the Danish Business Authority.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Ascendis Pharma shall pay all costs connected with granting of warrants and later exercise thereof. Ascendis Pharma’s costs in connection with issue of warrants and the related capital increase are estimated to DKK 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SALE OF SHARES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Intentionally left blank</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PROVISONS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11.1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attached to the subscription right shall not be included in the Warrantholder’s salary, and any agreement made between the Warrantholder and Ascendis Pharma regarding pension or the like shall therefore not include the value of the Warrantholder’s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11.2</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relevant authority should establish that the issuance and/or exercise of warrants shall be considered a salary allowance with the consequence that Ascendis Pharma shall pay holiday allowance or the like to the Warrantholder on the basis of the value of warrants, the subscription price shall be increased in order to compensate Ascendis Pharma for the amounts that have been paid to the Warrantholder in the form of holiday allowance or the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1"/>
        <w:gridCol w:w="9754"/>
      </w:tblGrid>
      <w:tr>
        <w:trPr/>
        <w:tc>
          <w:tcPr>
            <w:tcW w:w="451" w:type="dxa"/>
            <w:tcBorders/>
          </w:tcPr>
          <w:p>
            <w:pPr>
              <w:pStyle w:val="TableContents"/>
              <w:bidi w:val="0"/>
              <w:spacing w:before="0" w:after="283"/>
              <w:jc w:val="left"/>
              <w:rPr/>
            </w:pPr>
            <w:r>
              <w:rPr/>
              <w:t>11.3</w:t>
            </w:r>
          </w:p>
        </w:tc>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Ascendis Pharma offers warrants to Warrantholders shall not in any way obligate Ascendis Pharma to maintain the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IMPLICATIONS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12.1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implications connected to the Warrantholder’s subscription for or exercise of warrants shall be of no concern to Ascendis Pharma.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13.1</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warrants, the terms and conditions thereto and the exercise, and terms and conditions for future subscription for shares in Ascendis Pharma shall be governed by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
        <w:gridCol w:w="9744"/>
      </w:tblGrid>
      <w:tr>
        <w:trPr/>
        <w:tc>
          <w:tcPr>
            <w:tcW w:w="461" w:type="dxa"/>
            <w:tcBorders/>
          </w:tcPr>
          <w:p>
            <w:pPr>
              <w:pStyle w:val="TableContents"/>
              <w:bidi w:val="0"/>
              <w:spacing w:before="0" w:after="283"/>
              <w:jc w:val="left"/>
              <w:rPr/>
            </w:pPr>
            <w:r>
              <w:rPr/>
              <w:t>13.2</w:t>
            </w:r>
          </w:p>
        </w:tc>
        <w:tc>
          <w:tcPr>
            <w:tcW w:w="97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disagreement between the Warrantholder and Ascendis Pharma in relation to the understanding or implementation of the warrant scheme shall be settled amicably by negotiation between the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13.3</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parties fail to reach consensus, any disputes shall be settled in accordance with “Rules for hearing of cases in the Copenhagen Arbitration”. The Copenhagen Arbitration shall appoint one arbitrator who shall settle the dispute according to Danish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
        <w:gridCol w:w="9763"/>
      </w:tblGrid>
      <w:tr>
        <w:trPr/>
        <w:tc>
          <w:tcPr>
            <w:tcW w:w="442" w:type="dxa"/>
            <w:tcBorders/>
          </w:tcPr>
          <w:p>
            <w:pPr>
              <w:pStyle w:val="TableContents"/>
              <w:bidi w:val="0"/>
              <w:spacing w:before="0" w:after="283"/>
              <w:jc w:val="left"/>
              <w:rPr/>
            </w:pPr>
            <w:r>
              <w:rPr/>
              <w:t>13.4</w:t>
            </w:r>
          </w:p>
        </w:tc>
        <w:tc>
          <w:tcPr>
            <w:tcW w:w="97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discrepancies between the English and the Danish text the Danish text shall prevail. </w:t>
            </w:r>
          </w:p>
        </w:tc>
      </w:tr>
    </w:tbl>
    <w:p>
      <w:pPr>
        <w:pStyle w:val="TextBody"/>
        <w:bidi w:val="0"/>
        <w:spacing w:before="240" w:after="0"/>
        <w:jc w:val="center"/>
        <w:rPr/>
      </w:pPr>
      <w:r>
        <w:rPr/>
        <w:t>—</w:t>
      </w:r>
      <w:r>
        <w:rPr>
          <w:rFonts w:ascii="Times New Roman" w:hAnsi="Times New Roman"/>
          <w:sz w:val="20"/>
        </w:rPr>
        <w:t xml:space="preserve">-oo0oo—-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3 to the Articles of Association of Ascendis Pharma A/S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general meeting has, and the company’s board of directors has, in accordance with authorization granted by the company’s shareholders granted warrants as set forth below and has on the grant date also resolved the capital increase(s) of the company’s share capital related to the exercise of the warrants granted. </w:t>
      </w:r>
    </w:p>
    <w:p>
      <w:pPr>
        <w:pStyle w:val="TextBody"/>
        <w:bidi w:val="0"/>
        <w:spacing w:before="240" w:after="0"/>
        <w:jc w:val="left"/>
        <w:rPr>
          <w:rFonts w:ascii="Times New Roman" w:hAnsi="Times New Roman"/>
          <w:sz w:val="20"/>
        </w:rPr>
      </w:pPr>
      <w:r>
        <w:rPr>
          <w:rFonts w:ascii="Times New Roman" w:hAnsi="Times New Roman"/>
          <w:sz w:val="20"/>
        </w:rPr>
        <w:t xml:space="preserve">Each warrant confers the right to subscribe one share of DKK 1 nom. value in the company against cash payment of the exercise price per share of DKK 1 nom. value subscribed. </w:t>
      </w:r>
    </w:p>
    <w:p>
      <w:pPr>
        <w:pStyle w:val="TextBody"/>
        <w:bidi w:val="0"/>
        <w:spacing w:before="240" w:after="0"/>
        <w:jc w:val="left"/>
        <w:rPr>
          <w:rFonts w:ascii="Times New Roman" w:hAnsi="Times New Roman"/>
          <w:sz w:val="20"/>
        </w:rPr>
      </w:pPr>
      <w:r>
        <w:rPr>
          <w:rFonts w:ascii="Times New Roman" w:hAnsi="Times New Roman"/>
          <w:sz w:val="20"/>
        </w:rPr>
        <w:t xml:space="preserve">All numbers are shown (where relevant) adjusted following the bonus share issuance on 13 January 2015 in the ratio of 1:3.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SUBJECT TO ARTICLE 4C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p>
          <w:p>
            <w:pPr>
              <w:pStyle w:val="TableContents"/>
              <w:bidi w:val="0"/>
              <w:spacing w:before="0" w:after="0"/>
              <w:jc w:val="center"/>
              <w:rPr>
                <w:rFonts w:ascii="Times New Roman" w:hAnsi="Times New Roman"/>
                <w:b/>
                <w:sz w:val="16"/>
              </w:rPr>
            </w:pPr>
            <w:r>
              <w:rPr>
                <w:rFonts w:ascii="Times New Roman" w:hAnsi="Times New Roman"/>
                <w:b/>
                <w:sz w:val="16"/>
              </w:rPr>
              <w:t>P</w:t>
            </w:r>
            <w:r>
              <w:rPr>
                <w:rFonts w:ascii="Times New Roman" w:hAnsi="Times New Roman"/>
                <w:b/>
                <w:sz w:val="20"/>
              </w:rPr>
              <w:t>RICE</w:t>
            </w:r>
            <w:r>
              <w:rPr>
                <w:rFonts w:ascii="Times New Roman" w:hAnsi="Times New Roman"/>
                <w:b/>
                <w:sz w:val="16"/>
              </w:rPr>
              <w:t xml:space="preserve"> P</w:t>
            </w:r>
            <w:r>
              <w:rPr>
                <w:rFonts w:ascii="Times New Roman" w:hAnsi="Times New Roman"/>
                <w:b/>
                <w:sz w:val="20"/>
              </w:rPr>
              <w:t>ER</w:t>
            </w:r>
          </w:p>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26. november 2014</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566.504</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center"/>
              <w:rPr/>
            </w:pPr>
            <w:r>
              <w:rPr/>
              <w:t>USD 32,45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2</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534.150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32.354</w:t>
            </w:r>
          </w:p>
        </w:tc>
      </w:tr>
      <w:tr>
        <w:trPr/>
        <w:tc>
          <w:tcPr>
            <w:tcW w:w="174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b/>
              </w:rPr>
            </w:pPr>
            <w:r>
              <w:rPr>
                <w:b/>
              </w:rPr>
              <w:t>566.504</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b/>
              </w:rPr>
            </w:pPr>
            <w:r>
              <w:rPr>
                <w:b/>
              </w:rPr>
              <w:t>534.150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b/>
              </w:rPr>
            </w:pPr>
            <w:r>
              <w:rPr>
                <w:b/>
              </w:rPr>
              <w:t>32.354</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4c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All 566,504 warrants under article 4c have been exercised, have been annulled or have lapsed as of 16 November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9"/>
        <w:gridCol w:w="133"/>
        <w:gridCol w:w="73"/>
        <w:gridCol w:w="1207"/>
        <w:gridCol w:w="60"/>
        <w:gridCol w:w="133"/>
        <w:gridCol w:w="2201"/>
        <w:gridCol w:w="133"/>
        <w:gridCol w:w="1331"/>
        <w:gridCol w:w="133"/>
        <w:gridCol w:w="1174"/>
        <w:gridCol w:w="133"/>
        <w:gridCol w:w="1188"/>
        <w:gridCol w:w="133"/>
        <w:gridCol w:w="1184"/>
      </w:tblGrid>
      <w:tr>
        <w:trPr/>
        <w:tc>
          <w:tcPr>
            <w:tcW w:w="98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98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G</w:t>
            </w:r>
            <w:r>
              <w:rPr>
                <w:rFonts w:ascii="Times New Roman" w:hAnsi="Times New Roman"/>
                <w:b/>
                <w:sz w:val="20"/>
              </w:rPr>
              <w:t>RANT</w:t>
            </w:r>
          </w:p>
        </w:tc>
        <w:tc>
          <w:tcPr>
            <w:tcW w:w="133"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w:t>
            </w:r>
            <w:r>
              <w:rPr>
                <w:b/>
                <w:sz w:val="20"/>
              </w:rPr>
              <w:t>UMBER</w:t>
            </w:r>
            <w:r>
              <w:rPr>
                <w:b/>
              </w:rPr>
              <w:t> O</w:t>
            </w:r>
            <w:r>
              <w:rPr>
                <w:b/>
                <w:sz w:val="20"/>
              </w:rPr>
              <w:t>F</w:t>
            </w:r>
            <w:r>
              <w:rPr>
                <w:b/>
              </w:rPr>
              <w:br/>
              <w:t>W</w:t>
            </w:r>
            <w:r>
              <w:rPr>
                <w:b/>
                <w:sz w:val="20"/>
              </w:rPr>
              <w:t>ARRANTS</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33" w:type="dxa"/>
            <w:tcBorders/>
            <w:vAlign w:val="bottom"/>
          </w:tcPr>
          <w:p>
            <w:pPr>
              <w:pStyle w:val="TableContents"/>
              <w:bidi w:val="0"/>
              <w:spacing w:before="0" w:after="283"/>
              <w:jc w:val="left"/>
              <w:rPr/>
            </w:pPr>
            <w:r>
              <w:rPr/>
              <w:t>  </w:t>
            </w:r>
          </w:p>
        </w:tc>
        <w:tc>
          <w:tcPr>
            <w:tcW w:w="13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33" w:type="dxa"/>
            <w:tcBorders/>
            <w:vAlign w:val="bottom"/>
          </w:tcPr>
          <w:p>
            <w:pPr>
              <w:pStyle w:val="TableContents"/>
              <w:bidi w:val="0"/>
              <w:spacing w:before="0" w:after="283"/>
              <w:jc w:val="left"/>
              <w:rPr/>
            </w:pPr>
            <w:r>
              <w:rPr/>
              <w:t>  </w:t>
            </w:r>
          </w:p>
        </w:tc>
        <w:tc>
          <w:tcPr>
            <w:tcW w:w="11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33" w:type="dxa"/>
            <w:tcBorders/>
            <w:vAlign w:val="bottom"/>
          </w:tcPr>
          <w:p>
            <w:pPr>
              <w:pStyle w:val="TableContents"/>
              <w:bidi w:val="0"/>
              <w:spacing w:before="0" w:after="283"/>
              <w:jc w:val="left"/>
              <w:rPr/>
            </w:pPr>
            <w:r>
              <w:rPr/>
              <w:t>  </w:t>
            </w:r>
          </w:p>
        </w:tc>
        <w:tc>
          <w:tcPr>
            <w:tcW w:w="11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33" w:type="dxa"/>
            <w:tcBorders/>
            <w:vAlign w:val="bottom"/>
          </w:tcPr>
          <w:p>
            <w:pPr>
              <w:pStyle w:val="TableContents"/>
              <w:bidi w:val="0"/>
              <w:spacing w:before="0" w:after="283"/>
              <w:jc w:val="left"/>
              <w:rPr/>
            </w:pPr>
            <w:r>
              <w:rPr/>
              <w:t>  </w:t>
            </w:r>
          </w:p>
        </w:tc>
        <w:tc>
          <w:tcPr>
            <w:tcW w:w="11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September 2008</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623.880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2,6483/DKK 19,7491</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621.880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2.000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19. March 2009</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331.020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2,6483 /DKK 19,7332</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331.020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2009</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170.908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2,6483 DKK 19,7072</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332</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170.576</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13. December 2011</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58.000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59,4644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N/A</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1.832</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56.000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168</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2012</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66.000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59,6267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N/A</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3. December 2012</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690.604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59,6531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681.608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8.996</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March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28.400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59,6507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28.400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27. June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87.488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59,6459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87.488</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24. September 2013</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56.000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59,6283</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17.416</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35.709</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2.875</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5. December 2013</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12.000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59,6483</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12.000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 January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132.592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59,6675</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56.413</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76.179</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6. March 2014</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28.000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 7,9962/DKK 59,6731</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2</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28.000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19. June 2014</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168.008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 7,9962/DKK 59,6227</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2</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168.008</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18. December 2015</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1.022.908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16,99</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967.414</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55.494</w:t>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 March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178.500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18,14</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176.000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10. May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42.500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15,68</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42.500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58.000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13,59</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56.500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1.500</w:t>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12. July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12,97</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2.500</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left"/>
              <w:rPr>
                <w:sz w:val="4"/>
                <w:szCs w:val="4"/>
              </w:rPr>
            </w:pPr>
            <w:r>
              <w:rPr>
                <w:sz w:val="4"/>
                <w:szCs w:val="4"/>
              </w:rPr>
            </w:r>
          </w:p>
        </w:tc>
      </w:tr>
      <w:tr>
        <w:trPr/>
        <w:tc>
          <w:tcPr>
            <w:tcW w:w="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2016</w:t>
            </w:r>
          </w:p>
        </w:tc>
        <w:tc>
          <w:tcPr>
            <w:tcW w:w="13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129.000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201" w:type="dxa"/>
            <w:tcBorders/>
            <w:shd w:fill="CCEEFF" w:val="clear"/>
            <w:vAlign w:val="bottom"/>
          </w:tcPr>
          <w:p>
            <w:pPr>
              <w:pStyle w:val="TableContents"/>
              <w:bidi w:val="0"/>
              <w:spacing w:before="0" w:after="283"/>
              <w:jc w:val="left"/>
              <w:rPr/>
            </w:pPr>
            <w:r>
              <w:rPr/>
              <w:t>USD 14,50</w:t>
            </w:r>
          </w:p>
        </w:tc>
        <w:tc>
          <w:tcPr>
            <w:tcW w:w="133"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w:t>
            </w:r>
          </w:p>
        </w:tc>
        <w:tc>
          <w:tcPr>
            <w:tcW w:w="133"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0</w:t>
            </w:r>
          </w:p>
        </w:tc>
        <w:tc>
          <w:tcPr>
            <w:tcW w:w="13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129.000</w:t>
            </w:r>
          </w:p>
        </w:tc>
        <w:tc>
          <w:tcPr>
            <w:tcW w:w="133"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2016</w:t>
            </w:r>
          </w:p>
        </w:tc>
        <w:tc>
          <w:tcPr>
            <w:tcW w:w="13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left"/>
              <w:rPr/>
            </w:pPr>
            <w:r>
              <w:rPr/>
              <w:t>USD 19,34</w:t>
            </w:r>
          </w:p>
        </w:tc>
        <w:tc>
          <w:tcPr>
            <w:tcW w:w="133"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w:t>
            </w:r>
          </w:p>
        </w:tc>
        <w:tc>
          <w:tcPr>
            <w:tcW w:w="133"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0</w:t>
            </w:r>
          </w:p>
        </w:tc>
        <w:tc>
          <w:tcPr>
            <w:tcW w:w="13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8.895</w:t>
            </w:r>
          </w:p>
        </w:tc>
        <w:tc>
          <w:tcPr>
            <w:tcW w:w="133"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105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7"/>
        <w:gridCol w:w="120"/>
        <w:gridCol w:w="1276"/>
        <w:gridCol w:w="120"/>
        <w:gridCol w:w="1285"/>
        <w:gridCol w:w="120"/>
        <w:gridCol w:w="1379"/>
        <w:gridCol w:w="120"/>
        <w:gridCol w:w="1276"/>
        <w:gridCol w:w="120"/>
        <w:gridCol w:w="1285"/>
        <w:gridCol w:w="120"/>
        <w:gridCol w:w="1237"/>
      </w:tblGrid>
      <w:tr>
        <w:trPr/>
        <w:tc>
          <w:tcPr>
            <w:tcW w:w="1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17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2016</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783.000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20,67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727.401</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52.225</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20,72</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13.937</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1.063</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26,01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4.790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March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27.000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28,54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26.166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834</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36.000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27,48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18.035</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4.948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May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27,65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22,76</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40.500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left"/>
              <w:rPr>
                <w:sz w:val="4"/>
                <w:szCs w:val="4"/>
              </w:rPr>
            </w:pPr>
            <w:r>
              <w:rPr>
                <w:sz w:val="4"/>
                <w:szCs w:val="4"/>
              </w:rPr>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July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27,99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left"/>
              <w:rPr>
                <w:sz w:val="4"/>
                <w:szCs w:val="4"/>
              </w:rPr>
            </w:pPr>
            <w:r>
              <w:rPr>
                <w:sz w:val="4"/>
                <w:szCs w:val="4"/>
              </w:rPr>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27,81</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89.000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29,45</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72.750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36,14</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6.500</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2017</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35,50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2017</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957.500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37,18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562.919</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56.821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14.000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46,00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25.000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51,37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20.817</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2.804</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March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8.000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66,96</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April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117.000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62,15</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91.602</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23.180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May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11.500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62,80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8.500</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June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14.125</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71,00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12.003</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720</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10. July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18.500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69,79</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10.476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3.866</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August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70.000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68,00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45.161</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10.418</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11. September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123.000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63,77</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98.656</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938</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October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85.750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65,28</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44.134</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10.471</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13. November 2018</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76.000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61,00</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22.415</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14.377</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December 2018</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1.074.500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62,17</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430.984</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53.406</w:t>
            </w:r>
          </w:p>
        </w:tc>
      </w:tr>
      <w:tr>
        <w:trPr/>
        <w:tc>
          <w:tcPr>
            <w:tcW w:w="1747" w:type="dxa"/>
            <w:tcBorders/>
          </w:tcPr>
          <w:p>
            <w:pPr>
              <w:pStyle w:val="TableContents"/>
              <w:bidi w:val="0"/>
              <w:spacing w:before="0" w:after="0"/>
              <w:jc w:val="left"/>
              <w:rPr>
                <w:rFonts w:ascii="Times New Roman" w:hAnsi="Times New Roman"/>
                <w:sz w:val="20"/>
              </w:rPr>
            </w:pPr>
            <w:r>
              <w:rPr>
                <w:rFonts w:ascii="Times New Roman" w:hAnsi="Times New Roman"/>
                <w:sz w:val="20"/>
              </w:rPr>
              <w:t>8. January 2019</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40.000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USD 70,94</w:t>
            </w:r>
          </w:p>
        </w:tc>
        <w:tc>
          <w:tcPr>
            <w:tcW w:w="120"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27.071</w:t>
            </w:r>
          </w:p>
        </w:tc>
        <w:tc>
          <w:tcPr>
            <w:tcW w:w="120"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3.700</w:t>
            </w:r>
          </w:p>
        </w:tc>
      </w:tr>
      <w:tr>
        <w:trPr/>
        <w:tc>
          <w:tcPr>
            <w:tcW w:w="1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February 2019</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14.500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USD 70,20</w:t>
            </w:r>
          </w:p>
        </w:tc>
        <w:tc>
          <w:tcPr>
            <w:tcW w:w="120"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8.908</w:t>
            </w:r>
          </w:p>
        </w:tc>
        <w:tc>
          <w:tcPr>
            <w:tcW w:w="120"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3.022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4"/>
        <w:gridCol w:w="120"/>
        <w:gridCol w:w="1263"/>
        <w:gridCol w:w="120"/>
        <w:gridCol w:w="1352"/>
        <w:gridCol w:w="120"/>
        <w:gridCol w:w="1371"/>
        <w:gridCol w:w="120"/>
        <w:gridCol w:w="1263"/>
        <w:gridCol w:w="120"/>
        <w:gridCol w:w="1273"/>
        <w:gridCol w:w="119"/>
        <w:gridCol w:w="1230"/>
      </w:tblGrid>
      <w:tr>
        <w:trPr/>
        <w:tc>
          <w:tcPr>
            <w:tcW w:w="17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t xml:space="preserve"> P</w:t>
            </w:r>
            <w:r>
              <w:rPr>
                <w:rFonts w:ascii="Times New Roman" w:hAnsi="Times New Roman"/>
                <w:b/>
                <w:sz w:val="20"/>
              </w:rPr>
              <w:t>RICE</w:t>
            </w:r>
            <w:r>
              <w:rPr>
                <w:rFonts w:ascii="Times New Roman" w:hAnsi="Times New Roman"/>
                <w:b/>
                <w:sz w:val="16"/>
              </w:rPr>
              <w:br/>
              <w:t>P</w:t>
            </w:r>
            <w:r>
              <w:rPr>
                <w:rFonts w:ascii="Times New Roman" w:hAnsi="Times New Roman"/>
                <w:b/>
                <w:sz w:val="20"/>
              </w:rPr>
              <w:t>ER</w:t>
            </w:r>
            <w:r>
              <w:rPr>
                <w:rFonts w:ascii="Times New Roman" w:hAnsi="Times New Roman"/>
                <w:b/>
                <w:sz w:val="16"/>
              </w:rPr>
              <w:t xml:space="preserve"> 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2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19" w:type="dxa"/>
            <w:tcBorders/>
            <w:vAlign w:val="bottom"/>
          </w:tcPr>
          <w:p>
            <w:pPr>
              <w:pStyle w:val="TableContents"/>
              <w:bidi w:val="0"/>
              <w:spacing w:before="0" w:after="283"/>
              <w:jc w:val="left"/>
              <w:rPr/>
            </w:pPr>
            <w:r>
              <w:rPr/>
              <w:t>  </w:t>
            </w:r>
          </w:p>
        </w:tc>
        <w:tc>
          <w:tcPr>
            <w:tcW w:w="12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118.000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119,13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98.520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4.637</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May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37.000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120,28</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19.186</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7.212</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17.000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118,80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6.500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3.219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July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44.000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114,13</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12.500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5.325</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50.000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114,96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31.453</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10.711</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105,31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33.364</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7.813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45.000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92,54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31.339</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3.492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2019</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31.500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111,24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23.647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7.086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2019</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858.600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108,00</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177.377</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88.618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116.300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138,82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36.822</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17.150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15.000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142,76</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8.706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1.782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58.900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127,61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19.717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23.693</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May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58.300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137,78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25.558</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15.526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June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155.100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141,64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111.736</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38.358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July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137,84</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7.000</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2.245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August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30.900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140,49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8.350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13.990</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September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30.600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143,13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12.307</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5.853</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October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15.000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160,00</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2.168</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4.688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November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90.700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161,58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4.316</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51.436</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8. December 2020</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29.100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174,89</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350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12.258</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2020</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865.331</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176,28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58.973</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123.248</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12. January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31.910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173,21</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6.630</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6.564</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February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29.700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154,08</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9.862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8.085</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9. March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18.450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145,07</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7.909</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4.789</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April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22.480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124,81</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4.019</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9.182</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11. May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41.620</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133,64</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11.618</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6.357</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June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14.430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130,83</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1.735</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2.439</w:t>
            </w:r>
          </w:p>
        </w:tc>
      </w:tr>
      <w:tr>
        <w:trPr/>
        <w:tc>
          <w:tcPr>
            <w:tcW w:w="1734" w:type="dxa"/>
            <w:tcBorders/>
          </w:tcPr>
          <w:p>
            <w:pPr>
              <w:pStyle w:val="TableContents"/>
              <w:bidi w:val="0"/>
              <w:spacing w:before="0" w:after="0"/>
              <w:jc w:val="left"/>
              <w:rPr>
                <w:rFonts w:ascii="Times New Roman" w:hAnsi="Times New Roman"/>
                <w:sz w:val="20"/>
              </w:rPr>
            </w:pPr>
            <w:r>
              <w:rPr>
                <w:rFonts w:ascii="Times New Roman" w:hAnsi="Times New Roman"/>
                <w:sz w:val="20"/>
              </w:rPr>
              <w:t>13. July 2021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107.935</w:t>
            </w:r>
          </w:p>
        </w:tc>
        <w:tc>
          <w:tcPr>
            <w:tcW w:w="120"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USD 124,52</w:t>
            </w:r>
          </w:p>
        </w:tc>
        <w:tc>
          <w:tcPr>
            <w:tcW w:w="120"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13.907</w:t>
            </w:r>
          </w:p>
        </w:tc>
        <w:tc>
          <w:tcPr>
            <w:tcW w:w="119"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2.476</w:t>
            </w:r>
          </w:p>
        </w:tc>
      </w:tr>
      <w:tr>
        <w:trPr/>
        <w:tc>
          <w:tcPr>
            <w:tcW w:w="1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August 2021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14.230</w:t>
            </w:r>
          </w:p>
        </w:tc>
        <w:tc>
          <w:tcPr>
            <w:tcW w:w="120"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USD 125,25</w:t>
            </w:r>
          </w:p>
        </w:tc>
        <w:tc>
          <w:tcPr>
            <w:tcW w:w="120"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6.092</w:t>
            </w:r>
          </w:p>
        </w:tc>
        <w:tc>
          <w:tcPr>
            <w:tcW w:w="119"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4.128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WARRANTS SUBJECT TO ARTICLES 4A, 4F, 4G, 4H AND 4I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6"/>
        <w:gridCol w:w="120"/>
        <w:gridCol w:w="1256"/>
        <w:gridCol w:w="120"/>
        <w:gridCol w:w="1346"/>
        <w:gridCol w:w="120"/>
        <w:gridCol w:w="1366"/>
        <w:gridCol w:w="120"/>
        <w:gridCol w:w="1256"/>
        <w:gridCol w:w="119"/>
        <w:gridCol w:w="1266"/>
        <w:gridCol w:w="120"/>
        <w:gridCol w:w="1220"/>
      </w:tblGrid>
      <w:tr>
        <w:trPr/>
        <w:tc>
          <w:tcPr>
            <w:tcW w:w="17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w:t>
            </w:r>
            <w:r>
              <w:rPr>
                <w:rFonts w:ascii="Times New Roman" w:hAnsi="Times New Roman"/>
                <w:b/>
                <w:sz w:val="20"/>
              </w:rPr>
              <w:t>ATE</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t xml:space="preserve"> G</w:t>
            </w:r>
            <w:r>
              <w:rPr>
                <w:rFonts w:ascii="Times New Roman" w:hAnsi="Times New Roman"/>
                <w:b/>
                <w:sz w:val="20"/>
              </w:rPr>
              <w:t>RANT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w:t>
            </w:r>
            <w:r>
              <w:rPr>
                <w:rFonts w:ascii="Times New Roman" w:hAnsi="Times New Roman"/>
                <w:b/>
                <w:sz w:val="20"/>
              </w:rPr>
              <w:t>UMBER</w:t>
            </w:r>
            <w:r>
              <w:rPr>
                <w:rFonts w:ascii="Times New Roman" w:hAnsi="Times New Roman"/>
                <w:b/>
                <w:sz w:val="16"/>
              </w:rPr>
              <w:t xml:space="preserve"> O</w:t>
            </w:r>
            <w:r>
              <w:rPr>
                <w:rFonts w:ascii="Times New Roman" w:hAnsi="Times New Roman"/>
                <w:b/>
                <w:sz w:val="20"/>
              </w:rPr>
              <w:t>F</w:t>
            </w:r>
            <w:r>
              <w:rPr>
                <w:rFonts w:ascii="Times New Roman" w:hAnsi="Times New Roman"/>
                <w:b/>
                <w:sz w:val="16"/>
              </w:rPr>
              <w:br/>
              <w:t>W</w:t>
            </w:r>
            <w:r>
              <w:rPr>
                <w:rFonts w:ascii="Times New Roman" w:hAnsi="Times New Roman"/>
                <w:b/>
                <w:sz w:val="20"/>
              </w:rPr>
              <w:t>ARRANTS</w:t>
            </w:r>
          </w:p>
        </w:tc>
        <w:tc>
          <w:tcPr>
            <w:tcW w:w="120" w:type="dxa"/>
            <w:tcBorders/>
            <w:vAlign w:val="bottom"/>
          </w:tcPr>
          <w:p>
            <w:pPr>
              <w:pStyle w:val="TableContents"/>
              <w:bidi w:val="0"/>
              <w:spacing w:before="0" w:after="283"/>
              <w:jc w:val="left"/>
              <w:rPr/>
            </w:pPr>
            <w:r>
              <w:rPr/>
              <w:t>  </w:t>
            </w:r>
          </w:p>
        </w:tc>
        <w:tc>
          <w:tcPr>
            <w:tcW w:w="13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w:t>
            </w:r>
            <w:r>
              <w:rPr>
                <w:rFonts w:ascii="Times New Roman" w:hAnsi="Times New Roman"/>
                <w:b/>
                <w:sz w:val="20"/>
              </w:rPr>
              <w:t>XERCISE</w:t>
            </w:r>
            <w:r>
              <w:rPr>
                <w:rFonts w:ascii="Times New Roman" w:hAnsi="Times New Roman"/>
                <w:b/>
                <w:sz w:val="16"/>
              </w:rPr>
              <w:br/>
              <w:t>P</w:t>
            </w:r>
            <w:r>
              <w:rPr>
                <w:rFonts w:ascii="Times New Roman" w:hAnsi="Times New Roman"/>
                <w:b/>
                <w:sz w:val="20"/>
              </w:rPr>
              <w:t>RICE</w:t>
            </w:r>
            <w:r>
              <w:rPr>
                <w:rFonts w:ascii="Times New Roman" w:hAnsi="Times New Roman"/>
                <w:b/>
                <w:sz w:val="16"/>
              </w:rPr>
              <w:t> P</w:t>
            </w:r>
            <w:r>
              <w:rPr>
                <w:rFonts w:ascii="Times New Roman" w:hAnsi="Times New Roman"/>
                <w:b/>
                <w:sz w:val="20"/>
              </w:rPr>
              <w:t>ER</w:t>
            </w:r>
            <w:r>
              <w:rPr>
                <w:rFonts w:ascii="Times New Roman" w:hAnsi="Times New Roman"/>
                <w:b/>
                <w:sz w:val="16"/>
              </w:rPr>
              <w:br/>
              <w:t>W</w:t>
            </w:r>
            <w:r>
              <w:rPr>
                <w:rFonts w:ascii="Times New Roman" w:hAnsi="Times New Roman"/>
                <w:b/>
                <w:sz w:val="20"/>
              </w:rPr>
              <w:t>ARRANT</w:t>
            </w:r>
          </w:p>
        </w:tc>
        <w:tc>
          <w:tcPr>
            <w:tcW w:w="120" w:type="dxa"/>
            <w:tcBorders/>
            <w:vAlign w:val="bottom"/>
          </w:tcPr>
          <w:p>
            <w:pPr>
              <w:pStyle w:val="TableContents"/>
              <w:bidi w:val="0"/>
              <w:spacing w:before="0" w:after="283"/>
              <w:jc w:val="left"/>
              <w:rPr/>
            </w:pPr>
            <w:r>
              <w:rPr/>
              <w:t>  </w:t>
            </w:r>
          </w:p>
        </w:tc>
        <w:tc>
          <w:tcPr>
            <w:tcW w:w="1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PPLICABLE</w:t>
            </w:r>
            <w:r>
              <w:rPr>
                <w:rFonts w:ascii="Times New Roman" w:hAnsi="Times New Roman"/>
                <w:b/>
                <w:sz w:val="16"/>
              </w:rPr>
              <w:br/>
              <w:t>E</w:t>
            </w:r>
            <w:r>
              <w:rPr>
                <w:rFonts w:ascii="Times New Roman" w:hAnsi="Times New Roman"/>
                <w:b/>
                <w:sz w:val="20"/>
              </w:rPr>
              <w:t>XHIBIT</w:t>
            </w:r>
          </w:p>
        </w:tc>
        <w:tc>
          <w:tcPr>
            <w:tcW w:w="120" w:type="dxa"/>
            <w:tcBorders/>
            <w:vAlign w:val="bottom"/>
          </w:tcPr>
          <w:p>
            <w:pPr>
              <w:pStyle w:val="TableContents"/>
              <w:bidi w:val="0"/>
              <w:spacing w:before="0" w:after="283"/>
              <w:jc w:val="left"/>
              <w:rPr/>
            </w:pPr>
            <w:r>
              <w:rPr/>
              <w:t>  </w:t>
            </w:r>
          </w:p>
        </w:tc>
        <w:tc>
          <w:tcPr>
            <w:tcW w:w="12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w:t>
            </w:r>
            <w:r>
              <w:rPr>
                <w:rFonts w:ascii="Times New Roman" w:hAnsi="Times New Roman"/>
                <w:b/>
                <w:sz w:val="20"/>
              </w:rPr>
              <w:t>NNULLED</w:t>
            </w:r>
            <w:r>
              <w:rPr>
                <w:rFonts w:ascii="Times New Roman" w:hAnsi="Times New Roman"/>
                <w:b/>
                <w:sz w:val="16"/>
              </w:rPr>
              <w:br/>
              <w:t>W</w:t>
            </w:r>
            <w:r>
              <w:rPr>
                <w:rFonts w:ascii="Times New Roman" w:hAnsi="Times New Roman"/>
                <w:b/>
                <w:sz w:val="20"/>
              </w:rPr>
              <w:t>ARRANTS</w:t>
            </w:r>
          </w:p>
        </w:tc>
        <w:tc>
          <w:tcPr>
            <w:tcW w:w="119" w:type="dxa"/>
            <w:tcBorders/>
            <w:vAlign w:val="bottom"/>
          </w:tcPr>
          <w:p>
            <w:pPr>
              <w:pStyle w:val="TableContents"/>
              <w:bidi w:val="0"/>
              <w:spacing w:before="0" w:after="283"/>
              <w:jc w:val="left"/>
              <w:rPr/>
            </w:pPr>
            <w:r>
              <w:rPr/>
              <w:t>  </w:t>
            </w:r>
          </w:p>
        </w:tc>
        <w:tc>
          <w:tcPr>
            <w:tcW w:w="1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E</w:t>
            </w:r>
            <w:r>
              <w:rPr>
                <w:rFonts w:ascii="Times New Roman" w:hAnsi="Times New Roman"/>
                <w:b/>
                <w:sz w:val="20"/>
              </w:rPr>
              <w:t>XERCISED</w:t>
            </w:r>
          </w:p>
        </w:tc>
        <w:tc>
          <w:tcPr>
            <w:tcW w:w="120" w:type="dxa"/>
            <w:tcBorders/>
            <w:vAlign w:val="bottom"/>
          </w:tcPr>
          <w:p>
            <w:pPr>
              <w:pStyle w:val="TableContents"/>
              <w:bidi w:val="0"/>
              <w:spacing w:before="0" w:after="283"/>
              <w:jc w:val="left"/>
              <w:rPr/>
            </w:pPr>
            <w:r>
              <w:rPr/>
              <w:t>  </w:t>
            </w:r>
          </w:p>
        </w:tc>
        <w:tc>
          <w:tcPr>
            <w:tcW w:w="12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w:t>
            </w:r>
            <w:r>
              <w:rPr>
                <w:rFonts w:ascii="Times New Roman" w:hAnsi="Times New Roman"/>
                <w:b/>
                <w:sz w:val="20"/>
              </w:rPr>
              <w:t>ARRANTS</w:t>
            </w:r>
            <w:r>
              <w:rPr>
                <w:rFonts w:ascii="Times New Roman" w:hAnsi="Times New Roman"/>
                <w:b/>
                <w:sz w:val="16"/>
              </w:rPr>
              <w:br/>
              <w:t>L</w:t>
            </w:r>
            <w:r>
              <w:rPr>
                <w:rFonts w:ascii="Times New Roman" w:hAnsi="Times New Roman"/>
                <w:b/>
                <w:sz w:val="20"/>
              </w:rPr>
              <w:t>APSED</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September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28.670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153,54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5.815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3.414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October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15.880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168,74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3.044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3.049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November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14.220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158,75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2.250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1.659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December 2021</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1.077.526</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139,65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141.448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293.908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December 2021</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136,64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8.676</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7.176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January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22.860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118,88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8.182</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4.110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February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17.740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123,44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6.239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5.222</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March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26.350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105,77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8.776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7.452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April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37.265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108,84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6.909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15.548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36.790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82,64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12.838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6.003</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June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29.810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81,24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13.453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7.865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July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12.780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90,06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2.491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4.790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August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23.165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93,15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6.013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6.836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September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51.590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7.585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13.118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October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30.042</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5.635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10.684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November 2022</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24.490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123,91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2.378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December 2022</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44.210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122,81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7.762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17.676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January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47.365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112,61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13.171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14.229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February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111,00</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sz w:val="20"/>
              </w:rPr>
            </w:pPr>
            <w:r>
              <w:rPr>
                <w:rFonts w:ascii="Times New Roman" w:hAnsi="Times New Roman"/>
                <w:sz w:val="20"/>
              </w:rPr>
              <w:t>8.209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13.133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March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29.740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109,36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8.789</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12.172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April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52.210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80,18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23.269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11.170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May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97,20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4.504</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12.001</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June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77.000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92,93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38.839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33.138</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July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87,98</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9.728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4.478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August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12.410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94,09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4.143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1.940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September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102,56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5.456</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6.399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October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93,61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1.044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November 2023</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12.170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94,70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300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5.360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December 2023</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25.090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110,19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2.903</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2.825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January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37.380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137,10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6.535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2.058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February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14.320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143,35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1.989</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2.985</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March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37.680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153,80</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3.375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8.629</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April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51.905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153,67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8.045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4.373</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15. May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38.335</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124,04</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0"/>
              <w:jc w:val="right"/>
              <w:rPr>
                <w:rFonts w:ascii="Times New Roman" w:hAnsi="Times New Roman"/>
                <w:sz w:val="20"/>
              </w:rPr>
            </w:pPr>
            <w:r>
              <w:rPr>
                <w:rFonts w:ascii="Times New Roman" w:hAnsi="Times New Roman"/>
                <w:sz w:val="20"/>
              </w:rPr>
              <w:t>3.318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5.832</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June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18.235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131,93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1.734</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4.896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July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32.900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136,45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8.597</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13. August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36.805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139,66</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765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3.669</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September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97.660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114,76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7.191</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12.008</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October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26.280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132,05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4.558</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2.686</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November 2024</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58.180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127,67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7.108</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13.040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December 2024</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54.425</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129,67</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2.520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6.814</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January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82.103</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131,57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3.955</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2.205</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February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31.040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119,51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4.672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4.231</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March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35.520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145,63</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2.219</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6.696</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8. April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36.760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137,41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1.325</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11.760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May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36.390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161,52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267</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1.540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June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24.930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172,35</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11.300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8. July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25.020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168,17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4.150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August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28.480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195,98</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9. September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33.890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202,91</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October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31.710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208,71</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4.750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11. November 2025</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41.220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201,16</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3.680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December 2025</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27.820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196,63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13. January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42.030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215,05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600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February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16.570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224,19</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10. March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22.480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240,52</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14. April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32.310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249,84</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1.190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12. May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31.250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237,65</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670</w:t>
            </w:r>
          </w:p>
        </w:tc>
      </w:tr>
      <w:tr>
        <w:trPr/>
        <w:tc>
          <w:tcPr>
            <w:tcW w:w="17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June 2026</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27.030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USD 213,23</w:t>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1a</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83"/>
              <w:jc w:val="right"/>
              <w:rPr/>
            </w:pPr>
            <w:r>
              <w:rPr/>
              <w:t>0</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0</w:t>
            </w:r>
          </w:p>
        </w:tc>
      </w:tr>
      <w:tr>
        <w:trPr/>
        <w:tc>
          <w:tcPr>
            <w:tcW w:w="1776" w:type="dxa"/>
            <w:tcBorders/>
          </w:tcPr>
          <w:p>
            <w:pPr>
              <w:pStyle w:val="TableContents"/>
              <w:bidi w:val="0"/>
              <w:spacing w:before="0" w:after="0"/>
              <w:jc w:val="left"/>
              <w:rPr>
                <w:rFonts w:ascii="Times New Roman" w:hAnsi="Times New Roman"/>
                <w:sz w:val="20"/>
              </w:rPr>
            </w:pPr>
            <w:r>
              <w:rPr>
                <w:rFonts w:ascii="Times New Roman" w:hAnsi="Times New Roman"/>
                <w:sz w:val="20"/>
              </w:rPr>
              <w:t>14. July 2026</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14.060</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USD 265.57</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1a</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283"/>
              <w:jc w:val="right"/>
              <w:rPr/>
            </w:pPr>
            <w:r>
              <w:rPr/>
              <w:t>0</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r>
      <w:tr>
        <w:trPr/>
        <w:tc>
          <w:tcPr>
            <w:tcW w:w="17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b/>
              </w:rPr>
            </w:pPr>
            <w:r>
              <w:rPr>
                <w:b/>
              </w:rPr>
              <w:t>13.621.280</w:t>
            </w:r>
          </w:p>
        </w:tc>
        <w:tc>
          <w:tcPr>
            <w:tcW w:w="120"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b/>
              </w:rPr>
            </w:pPr>
            <w:r>
              <w:rPr>
                <w:b/>
              </w:rPr>
              <w:t>19.580</w:t>
            </w:r>
          </w:p>
        </w:tc>
        <w:tc>
          <w:tcPr>
            <w:tcW w:w="119"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20"/>
              <w:jc w:val="right"/>
              <w:rPr>
                <w:rFonts w:ascii="Times New Roman" w:hAnsi="Times New Roman"/>
                <w:b/>
                <w:sz w:val="20"/>
              </w:rPr>
            </w:pPr>
            <w:r>
              <w:rPr>
                <w:rFonts w:ascii="Times New Roman" w:hAnsi="Times New Roman"/>
                <w:b/>
                <w:sz w:val="20"/>
              </w:rPr>
              <w:t>7.271.222</w:t>
            </w:r>
          </w:p>
        </w:tc>
        <w:tc>
          <w:tcPr>
            <w:tcW w:w="12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b/>
              </w:rPr>
            </w:pPr>
            <w:r>
              <w:rPr>
                <w:b/>
              </w:rPr>
              <w:t>1.556.953</w:t>
            </w:r>
          </w:p>
        </w:tc>
      </w:tr>
      <w:tr>
        <w:trPr/>
        <w:tc>
          <w:tcPr>
            <w:tcW w:w="17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19" w:type="dxa"/>
            <w:tcBorders/>
            <w:vAlign w:val="bottom"/>
          </w:tcPr>
          <w:p>
            <w:pPr>
              <w:pStyle w:val="TableContents"/>
              <w:bidi w:val="0"/>
              <w:spacing w:before="0" w:after="283"/>
              <w:jc w:val="left"/>
              <w:rPr/>
            </w:pPr>
            <w:r>
              <w:rPr/>
              <w:t>  </w:t>
            </w:r>
          </w:p>
        </w:tc>
        <w:tc>
          <w:tcPr>
            <w:tcW w:w="1266"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4a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4g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previous authorization under article 4h is fully exhausted and replaced by a new authorisation.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 authorization under article 4i is fully exhausted. </w:t>
      </w:r>
    </w:p>
    <w:p>
      <w:pPr>
        <w:pStyle w:val="TextBody"/>
        <w:bidi w:val="0"/>
        <w:spacing w:before="240" w:after="0"/>
        <w:jc w:val="left"/>
        <w:rPr>
          <w:rFonts w:ascii="Times New Roman" w:hAnsi="Times New Roman"/>
          <w:sz w:val="20"/>
        </w:rPr>
      </w:pPr>
      <w:r>
        <w:rPr>
          <w:rFonts w:ascii="Times New Roman" w:hAnsi="Times New Roman"/>
          <w:sz w:val="20"/>
        </w:rPr>
        <w:t xml:space="preserve">Hereinafter, there are in total 4,773,525 outstanding warrants under articles 4a, 4f, 4g, 4h, and 4i. </w:t>
      </w:r>
    </w:p>
    <w:p>
      <w:pPr>
        <w:pStyle w:val="TextBody"/>
        <w:bidi w:val="0"/>
        <w:spacing w:before="240" w:after="0"/>
        <w:jc w:val="left"/>
        <w:rPr>
          <w:rFonts w:ascii="Times New Roman" w:hAnsi="Times New Roman"/>
          <w:sz w:val="20"/>
        </w:rPr>
      </w:pPr>
      <w:r>
        <w:rPr>
          <w:rFonts w:ascii="Times New Roman" w:hAnsi="Times New Roman"/>
          <w:sz w:val="20"/>
        </w:rPr>
        <w:t xml:space="preserve">The warrants granted vest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3. December 2012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1/48 per month from 3 December 2012 with respect to 665,188 warrants and by 1/48 per month from 1 October 2012 with respect to 25.416 warrants.</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March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March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27. June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27 June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24. September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24 September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5. December 2013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5 December 2013.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16. January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16 January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6. March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6 March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19. June 2014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19 June 2014.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18. December 2015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18 December 2015.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March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15 March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July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August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November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2016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14 December 2016.</w:t>
            </w:r>
          </w:p>
          <w:p>
            <w:pPr>
              <w:pStyle w:val="TableContents"/>
              <w:bidi w:val="0"/>
              <w:spacing w:before="0" w:after="20"/>
              <w:jc w:val="left"/>
              <w:rPr>
                <w:rFonts w:ascii="Times New Roman" w:hAnsi="Times New Roman"/>
                <w:sz w:val="20"/>
              </w:rPr>
            </w:pPr>
            <w:r>
              <w:rPr>
                <w:rFonts w:ascii="Times New Roman" w:hAnsi="Times New Roman"/>
                <w:sz w:val="20"/>
              </w:rPr>
              <w:t>693,000 warrants vest by 1/48 per month from 14 December 2016.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January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February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March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April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June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July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August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September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October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November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2017</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90,000 warrants vest by 1/24 per month from 12 December 2017.</w:t>
            </w:r>
          </w:p>
          <w:p>
            <w:pPr>
              <w:pStyle w:val="TableContents"/>
              <w:bidi w:val="0"/>
              <w:spacing w:before="0" w:after="20"/>
              <w:jc w:val="left"/>
              <w:rPr>
                <w:rFonts w:ascii="Times New Roman" w:hAnsi="Times New Roman"/>
                <w:sz w:val="20"/>
              </w:rPr>
            </w:pPr>
            <w:r>
              <w:rPr>
                <w:rFonts w:ascii="Times New Roman" w:hAnsi="Times New Roman"/>
                <w:sz w:val="20"/>
              </w:rPr>
              <w:t>867,500 warrants vest by 1/48 per month from 12 December 2017.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January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February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March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March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April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April 2018.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May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June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June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July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July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August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August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September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September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October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October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November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November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December 2018</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52,000 warrants vest by 1/24 per month from 11 December 2018.</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1,022,500 warrants vest by 1/48 per month from 11 December 2018.</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January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January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February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February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April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May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June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July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August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September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October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November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2019</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37,500 warrants vest by 1/24 per month from 10 December 2019. 821,100 warrants vest by 1/48 per month from 10 December 2019.</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January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February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March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May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June 2020.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xml:space="preserve"> O</w:t>
            </w:r>
            <w:r>
              <w:rPr>
                <w:b/>
                <w:sz w:val="20"/>
              </w:rPr>
              <w:t>F</w:t>
            </w:r>
            <w:r>
              <w:rPr>
                <w:b/>
              </w:rPr>
              <w:t xml:space="preserve">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July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August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August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September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September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October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October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November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November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2020</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32,100 warrants vest by 1/24 per month from 10 December 2020. 833,231 warrants vest by 1/48 per month from 10 December 2020.</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January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January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February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February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March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March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April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April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11 May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June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8 June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July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13 July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August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10 August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September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14 September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October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12 October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November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The warrants vest by 1/48 per month from 9 November 2021.</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0"/>
              <w:jc w:val="left"/>
              <w:rPr>
                <w:rFonts w:ascii="Times New Roman" w:hAnsi="Times New Roman"/>
                <w:sz w:val="20"/>
              </w:rPr>
            </w:pPr>
            <w:r>
              <w:rPr>
                <w:rFonts w:ascii="Times New Roman" w:hAnsi="Times New Roman"/>
                <w:sz w:val="20"/>
              </w:rPr>
              <w:t>50 % of 12,212 warrants vest by 9 December 2022 and the remaining 50 % of the 12,212 warrants vest by 1/12 per month from 9 December 2022.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25 % of 1,065,314 warrants vest by 9 December 2022 and the remaining 75 % of the 1,065,314 warrants vest by 1/36 per month from 9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December 2021</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28.930 warrants vest by 14 December 2022 and the remaining 75 % of the 28,930 warrants vest by 1/36 per month from 14 December 2022.</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January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22,860 warrants vest by 11 January 2023 and the remaining 75 % of the 22,860 warrants vest by 1/36 per month from 11 January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7"/>
        <w:gridCol w:w="311"/>
        <w:gridCol w:w="7957"/>
      </w:tblGrid>
      <w:tr>
        <w:trPr/>
        <w:tc>
          <w:tcPr>
            <w:tcW w:w="1937"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b/>
              </w:rPr>
            </w:pPr>
            <w:r>
              <w:rPr>
                <w:b/>
              </w:rPr>
              <w:t>D</w:t>
            </w:r>
            <w:r>
              <w:rPr>
                <w:b/>
                <w:sz w:val="20"/>
              </w:rPr>
              <w:t>ATE</w:t>
            </w:r>
            <w:r>
              <w:rPr>
                <w:b/>
              </w:rPr>
              <w:t> O</w:t>
            </w:r>
            <w:r>
              <w:rPr>
                <w:b/>
                <w:sz w:val="20"/>
              </w:rPr>
              <w:t>F</w:t>
            </w:r>
            <w:r>
              <w:rPr>
                <w:b/>
              </w:rPr>
              <w:t> G</w:t>
            </w:r>
            <w:r>
              <w:rPr>
                <w:b/>
                <w:sz w:val="20"/>
              </w:rPr>
              <w:t>RANT</w:t>
            </w:r>
          </w:p>
        </w:tc>
        <w:tc>
          <w:tcPr>
            <w:tcW w:w="311" w:type="dxa"/>
            <w:tcBorders/>
            <w:vAlign w:val="bottom"/>
          </w:tcPr>
          <w:p>
            <w:pPr>
              <w:pStyle w:val="TableContents"/>
              <w:bidi w:val="0"/>
              <w:spacing w:before="0" w:after="283"/>
              <w:jc w:val="left"/>
              <w:rPr/>
            </w:pPr>
            <w:r>
              <w:rPr/>
              <w:t>  </w:t>
            </w:r>
          </w:p>
        </w:tc>
        <w:tc>
          <w:tcPr>
            <w:tcW w:w="7957" w:type="dxa"/>
            <w:tcBorders/>
            <w:vAlign w:val="bottom"/>
          </w:tcPr>
          <w:p>
            <w:pPr>
              <w:pStyle w:val="TableContents"/>
              <w:bidi w:val="0"/>
              <w:spacing w:before="0" w:after="283"/>
              <w:jc w:val="left"/>
              <w:rPr>
                <w:b/>
              </w:rPr>
            </w:pPr>
            <w:r>
              <w:rPr>
                <w:b/>
              </w:rPr>
              <w:t>V</w:t>
            </w:r>
            <w:r>
              <w:rPr>
                <w:b/>
                <w:sz w:val="20"/>
              </w:rPr>
              <w:t>ESTING</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February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17,740 warrants vest by 8 February 2023 and the remaining 75 % of the 17,740 warrants vest by 1/36 per month from 8 February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March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26,350 warrants vest by 8 March 2023 and the remaining 75 % of the 26,350 warrants vest by 1/36 per month from 8 March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April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37,265 warrants vest by 12 April 2023 and the remaining 75 % of the 37,265 warrants vest by 1/36 per month from 12 April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36,790 warrants vest by 10 May 2023 and the remaining 75 % of the 36,790 warrants vest by 1/36 per month from 10 May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June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29,810 warrants vest by 14 June 2023 and the remaining 75 % of the 29,810 warrants vest by 1/36 per month from 14 June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July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12,780 warrants vest by 12 July 2023 and the remaining 75 % of the 12,780 warrants vest by 1/36 per month from 12 July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August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23,165 warrants vest by 9 August 2023 and the remaining 75 % of the 23,165 warrants vest by 1/36 per month from 9 August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September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51,590 warrants vest by 13 September 2023 and the remaining 75 % of the 51,590 warrants vest by 1/36 per month from 13 September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October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30,042 warrants vest by 11 October 2023 and the remaining 75 % of the 30,042 warrants vest by 1/36 per month from 11 October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November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24,490 warrants vest by 8 November 2023 and the remaining 75 % of the 24,490 warrants vest by 1/36 per month from 8 November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December 2022</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44,210 warrants vest by 13 December 2023 and the remaining 75 % of the 44,210 warrants vest by 1/36 per month from 13 December 2023.</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January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47,365 warrants vest by 10 January 2024 and the remaining 75 % of the 47,365 warrants vest by 1/36 per month from 10 January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February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36,480 warrants vest by 14 February 2024 and the remaining 75 % of the 36,480 warrants vest by 1/36 per month from 14 February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March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29,740 warrants vest by 14 March 2024 and the remaining 75 % of the 29,740 warrants vest by 1/36 per month from 14 March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April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52,210 warrants vest by 11 April 2024 and the remaining 75 % of the 52,210 warrants vest by 1/36 per month from 11 April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May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9 May 2024 and the remaining 75 % of the 31,250 warrants vest by 1/36 per month from 9 May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June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77,000 warrants vest by 13 June 2024 and the remaining 75 % of the 77,000 warrants vest by 1/36 per month from 13 June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July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24,220 warrants vest by 11 July 2024 and the remaining 75 % of the 24,220 warrants vest by 1/36 per month from 11 July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August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12,410 warrants vest by 8 August 2024 and the remaining 75 % of the 12,410 warrants vest by 1/36 per month from 8 August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September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22,430 warrants vest by 12 September 2024 and the remaining 75 % of the 22,430 warrants vest by 1/36 per month from 12 September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October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24,910 warrants vest by 10 October 2024 and the remaining 75 % of the 24,910 warrants vest by 1/36 per month from 10 October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November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12,170 warrants vest by 14 November 2024 and the remaining 75% of the 12,170 warrants vest by 1/36 per month from 14 November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December 2023</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25,090 warrants vest by 12 December 2024 and the remaining 75 % of the 25,090 warrants vest by 1/36 per month from 12 December 2024.</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January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37,380 warrants vest by 9 January 2025 and the remaining 75 % of the 37,380 warrants vest by 1/36 per month from 9 January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February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14,320 warrants vest by 13 February 2025 and the remaining 75 % of the 14,320 warrants vest by 1/36 per month from 13 February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March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37,680 warrants vest by 12 March 2025 and the remaining 75 % of the 37,680 warrants vest by 1/36 per month from 12 March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April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51,905 warrants vest by 9 April 2025 and the remaining 75 % of the 51,905 warrants vest by 1/36 per month from 9 April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15. May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38,335 warrants vest by 15 May 2025 and the remaining 75 % of the 38,335 warrants vest by 1/36 per month from 15 May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June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18,235 warrants vest by 11 June 2025 and the remaining 75 % of the 18,235 warrants vest by 1/36 per month from 11 June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July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32,900 warrants vest by 9 July 2025 and the remaining 75 % of the 32,900 warrants vest by 1/36 per month from 9 July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August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36,805 warrants vest by 13 August 2025 and the remaining 75 % of the 36,805 warrants vest by 1/36 per month from 13 August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September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97,660 warrants vest by 10 September 2025 and the remaining 75 % of the 97,660 warrants vest by 1/36 per month from 10 September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October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26,280 warrants vest by 8 October 2025 and the remaining 75 % of the 26,280 warrants vest by 1/36 per month from 8 October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November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58,180 warrants vest by 12 November 2025 and the remaining 75 % of the 58,180 warrants vest by 1/36 per month from 12 November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December 2024</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54,425 warrants vest by 10 December 2025 and the remaining 75 % of the 54,425 warrants vest by 1/36 per month from 10 December 2025.</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January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82,103 warrants vest by 14 January 2026 and the remaining 75 % of the 82,103 warrants vest by 1/36 per month from 14 January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February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31,040 warrants vest by 11 February 2026 and the remaining 75 % of the 31,040 warrants vest by 1/36 per month from 11 February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March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35,520 warrants vest by 11 March 2026 and the remaining 75 % of the 35,520 warrants vest by 1/36 per month from 11 March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April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36,760 warrants vest by 8 April 2026 and the remaining 75 % of the 36,760 warrants vest by 1/36 per month from 8 April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May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36,390 warrants vest by 13 May 2026 and the remaining 75 % of the 36,390 warrants vest by 1/36 per month from 13 May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June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24,930 warrants vest by 10 June 2026 and the remaining 75 % of the 24,930 warrants vest by 1/36 per month from 10 June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8. July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25,020 warrants vest by 8 July 2026 and the remaining 75 % of the 25,020 warrants vest by 1/36 per month from 8 July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August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28,480 warrants vest by 12 August 2026 and the remaining 75 % of the 28,480 warrants vest by 1/36 per month from 12 August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September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33,890 warrants vest by 9 September 2026 and the remaining 75 % of the 33,890 warrants vest by 1/36 per month from 9 September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October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31,710 warrants vest by 14 October 2026 and the remaining 75 % of the 31,710 warrants vest by 1/36 per month from 14 October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11. November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41,220 warrants vest by 11 November 2026 and the remaining 75 % of the 41,220 warrants vest by 1/36 per month from 11 November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December 2025</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27,820 warrants vest by 9 December 2026 and the remaining 75 % of the 27,820 warrants vest by 1/36 per month from 9 December 2026.</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13. January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42,030 warrants vest by 13 January 2027 and the remaining 75% of the 42,030 warrants vest by 1/36 per month from 13 January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February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of 16,570 warrants vest by 10 February 2027 and the remaining 75% of the 16,570 warrants vest by 1/36 per month from 10 February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10. March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22,480 warrants vest by 10 March 2027 and the remaining 75 % of the 22,480 warrants vest by 1/36 per month from 10 March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April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32,310 warrants vest by 14 April 2027 and the remaining 75 % of the 32,310 warrants vest by 1/36 per month from 14 April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12. May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31,250 warrants vest by 12 May 2027 and the remaining 75 % of the 31,250 warrants vest by 1/36 per month from 12 May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9. June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27,030 warrants vest by 9 June 2027 and the remaining 75 % of the 27,030 warrants vest by 1/36 per month from 9 June 2027.</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8268"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pPr>
            <w:r>
              <w:rPr/>
              <w:t>14. July 2026</w:t>
            </w:r>
          </w:p>
        </w:tc>
        <w:tc>
          <w:tcPr>
            <w:tcW w:w="311" w:type="dxa"/>
            <w:tcBorders/>
            <w:vAlign w:val="bottom"/>
          </w:tcPr>
          <w:p>
            <w:pPr>
              <w:pStyle w:val="TableContents"/>
              <w:bidi w:val="0"/>
              <w:spacing w:before="0" w:after="283"/>
              <w:jc w:val="left"/>
              <w:rPr/>
            </w:pPr>
            <w:r>
              <w:rPr/>
              <w:t>  </w:t>
            </w:r>
          </w:p>
        </w:tc>
        <w:tc>
          <w:tcPr>
            <w:tcW w:w="7957" w:type="dxa"/>
            <w:tcBorders/>
          </w:tcPr>
          <w:p>
            <w:pPr>
              <w:pStyle w:val="TableContents"/>
              <w:bidi w:val="0"/>
              <w:spacing w:before="0" w:after="283"/>
              <w:jc w:val="left"/>
              <w:rPr/>
            </w:pPr>
            <w:r>
              <w:rPr/>
              <w:t>25 % of 14,060 warrants vest by 14 July 2027 and the remaining 75 % of the 14,060 warrants vest by 1/36 per month from 14 July 2027.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28657</Words>
  <Characters>140248</Characters>
  <CharactersWithSpaces>169918</CharactersWithSpaces>
  <Paragraphs>3700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EX-1.1</dc:title>
</cp:coreProperties>
</file>