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7407d6k.htm"/>
      <w:bookmarkStart w:id="1" w:name="ksd11740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November,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pPr>
      <w: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p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0" w:after="0"/>
        <w:jc w:val="left"/>
      </w:pPr>
      <w: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On November 6, 2026, the Company announced that the Committee for Orphan Medicinal Products (COMP) of the European Medicines Agency (EMA) has adopted a positive opinion recommending maintenance of orphan medicinal product designation for once-weekly TransCon CNP (navepegritide) as a treatment for achondroplasia in children. The designation would provide Ascendis benefits that include 10 years of orphan market exclusivity upon final adoption of the COMP opinion by the European Commission (EC). </w:t>
      </w:r>
    </w:p>
    <w:p>
      <w:pPr>
        <w:pStyle w:val="TextBody"/>
        <w:bidi w:val="0"/>
        <w:spacing w:before="240" w:after="0"/>
        <w:jc w:val="left"/>
        <w:rPr>
          <w:rFonts w:ascii="Times New Roman" w:hAnsi="Times New Roman"/>
          <w:sz w:val="20"/>
        </w:rPr>
      </w:pPr>
      <w:r>
        <w:rPr>
          <w:rFonts w:ascii="Times New Roman" w:hAnsi="Times New Roman"/>
          <w:sz w:val="20"/>
        </w:rPr>
        <w:t xml:space="preserve">The opinion follows the EMA’s Committee for Medicinal Products for Human Use (CHMP) positive opinion recommending marketing authorization for once-weekly TransCon CNP in the European Union for the treatment of achondroplasia in children two years of age and older whose epiphyses are not closed. The final EC decision on Ascendis Pharma’s Marketing Authorisation Application (MAA) is expected during Q4 2026. </w:t>
      </w:r>
    </w:p>
    <w:p>
      <w:pPr>
        <w:pStyle w:val="TextBody"/>
        <w:bidi w:val="0"/>
        <w:spacing w:before="240" w:after="0"/>
        <w:jc w:val="left"/>
        <w:rPr>
          <w:rFonts w:ascii="Times New Roman" w:hAnsi="Times New Roman"/>
          <w:sz w:val="20"/>
        </w:rPr>
      </w:pPr>
      <w:r>
        <w:rPr>
          <w:rFonts w:ascii="Times New Roman" w:hAnsi="Times New Roman"/>
          <w:sz w:val="20"/>
        </w:rPr>
        <w:t xml:space="preserve">If authorized by the EC, Ascendis expects its first EU launch of TransCon CNP under the brand name YUVIWEL® to be in Germany during Q1 2027.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that involve substantial risks and uncertainties. All statements, other than statements of historical facts, included in this report regarding Ascendis’ future operations, plans and objectives of management are forward-looking statements within the meaning of Section 27A of the Securities Act of 1933, as amended, and Section 21E of the Securities Exchange Act of 1934, as amended. Examples of such statements include, but are not limited to, statements relating to (i) the potential final adoption of the COMP opinion by the EC and the expected benefits of orphan medicinal product designation, including 10 years of orphan market exclusivity, (ii) the anticipated timing of the EC’s final decision on Ascendis’ MAA for TransCon CNP (navepegritide), expected during the fourth quarter of 2026, (iii) the potential for the EC to grant marketing authorization for TransCon CNP, and (iv) Ascendis’ expectation and anticipated timing for its first EU launch of TransCon CNP under the brand name YUVIWEL in Germany in the first quarter of 2027.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without limitation: dependence on third-party manufacturers, distributors, and service providers for Ascendis’ products and product candidates; risks related to regulatory review and approval, including the possibility of delays, requests for additional data or analyses, restrictions or limitations on use, approval with labeling that is more limited than expected, or failure to obtain approval in the United States, European Union, or other jurisdictions; clinical development risks, including that results from ongoing or future trials may not confirm earlier data; unforeseen safety or efficacy findings in development programs or on-market products; manufacturing, supply chain, quality, or logistics issues that could delay development or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sz w:val="20"/>
        </w:rPr>
      </w:pPr>
      <w:r>
        <w:rPr>
          <w:rFonts w:ascii="Times New Roman" w:hAnsi="Times New Roman"/>
          <w:sz w:val="20"/>
        </w:rPr>
        <w:t xml:space="preserve">commercialization; unforeseen expenses related to commercialization of any approved Ascendis products; unforeseen research and development or selling, general and administrative expenses and other costs impacting Ascendis’ business generally; market acceptance, pricing, and reimbursement challenges, including payer coverage decisions and health technology assessments; competitive developments, including new or improved therapies; intellectual property protection, freedom-to-operate, and litigation risks; Ascendis’ ability to obtain additional funding, if needed, to support its business activities; cybersecurity, data privacy, and information technology disruptions; and the impact of international economic, political, legal, compliance, public health, and business factors, including tariffs, trade policies, currency fluctuations, and geopolitical events.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11, 2026,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592"/>
        <w:gridCol w:w="101"/>
        <w:gridCol w:w="407"/>
        <w:gridCol w:w="101"/>
        <w:gridCol w:w="305"/>
        <w:gridCol w:w="101"/>
        <w:gridCol w:w="4598"/>
      </w:tblGrid>
      <w:t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pPr>
            <w: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pPr>
            <w:r>
              <w:t> </w:t>
            </w:r>
          </w:p>
        </w:tc>
        <w:tc>
          <w:tcPr>
            <w:tcW w:w="5004" w:type="dxa"/>
            <w:gridSpan w:val="3"/>
            <w:tcBorders/>
          </w:tcPr>
          <w:p>
            <w:pPr>
              <w:pStyle w:val="TableContents"/>
              <w:bidi w:val="0"/>
              <w:spacing w:before="0" w:after="283"/>
              <w:jc w:val="left"/>
            </w:pPr>
            <w:r>
              <w:t>Ascendis Pharma A/S</w:t>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9" w:type="dxa"/>
            <w:gridSpan w:val="2"/>
            <w:tcBorders/>
            <w:vAlign w:val="center"/>
          </w:tcPr>
          <w:p>
            <w:pPr>
              <w:pStyle w:val="TableContents"/>
              <w:bidi w:val="0"/>
              <w:spacing w:before="0" w:after="283"/>
              <w:jc w:val="left"/>
              <w:rPr>
                <w:sz w:val="4"/>
                <w:szCs w:val="4"/>
              </w:rPr>
            </w:pPr>
            <w:r>
              <w:rPr>
                <w:sz w:val="4"/>
                <w:szCs w:val="4"/>
              </w:rPr>
            </w:r>
          </w:p>
        </w:tc>
      </w:tr>
      <w:tr>
        <w:tc>
          <w:tcPr>
            <w:tcW w:w="4592" w:type="dxa"/>
            <w:tcBorders/>
          </w:tcPr>
          <w:p>
            <w:pPr>
              <w:pStyle w:val="TableContents"/>
              <w:bidi w:val="0"/>
              <w:spacing w:before="0" w:after="283"/>
              <w:jc w:val="left"/>
            </w:pPr>
            <w:r>
              <w:t>Date: November 6, 2026</w:t>
            </w:r>
          </w:p>
        </w:tc>
        <w:tc>
          <w:tcPr>
            <w:tcW w:w="101" w:type="dxa"/>
            <w:tcBorders/>
            <w:vAlign w:val="bottom"/>
          </w:tcPr>
          <w:p>
            <w:pPr>
              <w:pStyle w:val="TableContents"/>
              <w:bidi w:val="0"/>
              <w:spacing w:before="0" w:after="283"/>
              <w:jc w:val="left"/>
            </w:pPr>
            <w: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pPr>
            <w:r>
              <w:t> </w:t>
            </w:r>
          </w:p>
        </w:tc>
        <w:tc>
          <w:tcPr>
            <w:tcW w:w="305" w:type="dxa"/>
            <w:tcBorders/>
          </w:tcPr>
          <w:p>
            <w:pPr>
              <w:pStyle w:val="TableContents"/>
              <w:bidi w:val="0"/>
              <w:spacing w:before="0" w:after="283"/>
              <w:jc w:val="left"/>
            </w:pPr>
            <w:r>
              <w:t>By:</w:t>
            </w:r>
          </w:p>
        </w:tc>
        <w:tc>
          <w:tcPr>
            <w:tcW w:w="101" w:type="dxa"/>
            <w:tcBorders/>
            <w:vAlign w:val="bottom"/>
          </w:tcPr>
          <w:p>
            <w:pPr>
              <w:pStyle w:val="TableContents"/>
              <w:bidi w:val="0"/>
              <w:spacing w:before="0" w:after="283"/>
              <w:jc w:val="left"/>
            </w:pPr>
            <w:r>
              <w:t> </w:t>
            </w:r>
          </w:p>
        </w:tc>
        <w:tc>
          <w:tcPr>
            <w:tcW w:w="45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pPr>
            <w: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pPr>
            <w: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pPr>
            <w:r>
              <w:t> </w:t>
            </w:r>
          </w:p>
        </w:tc>
        <w:tc>
          <w:tcPr>
            <w:tcW w:w="4598" w:type="dxa"/>
            <w:tcBorders/>
          </w:tcPr>
          <w:p>
            <w:pPr>
              <w:pStyle w:val="TableContents"/>
              <w:bidi w:val="0"/>
              <w:spacing w:before="0" w:after="283"/>
              <w:jc w:val="left"/>
            </w:pPr>
            <w:r>
              <w:t>Michael Wolff Jensen</w:t>
            </w:r>
          </w:p>
        </w:tc>
      </w:tr>
      <w:t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pPr>
            <w: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pPr>
            <w: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pPr>
            <w:r>
              <w:t> </w:t>
            </w:r>
          </w:p>
        </w:tc>
        <w:tc>
          <w:tcPr>
            <w:tcW w:w="4598" w:type="dxa"/>
            <w:tcBorders/>
          </w:tcPr>
          <w:p>
            <w:pPr>
              <w:pStyle w:val="TableContents"/>
              <w:bidi w:val="0"/>
              <w:spacing w:before="0" w:after="283"/>
              <w:jc w:val="left"/>
            </w:pPr>
            <w:r>
              <w:t>Executive Vice President, Chief Legal Officer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939</Words>
  <Characters>5688</Characters>
  <CharactersWithSpaces>6650</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