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1437d6k.htm"/>
      <w:bookmarkStart w:id="1" w:name="ksd3143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as Exhibit 99.1 to this Report on Form 6-K is a press release of Ascendis Pharma A/S (the “Company”) dated August 13, 2026, announcing the Company’s financial results for the fiscal quarter ended 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
        <w:gridCol w:w="434"/>
        <w:gridCol w:w="9055"/>
      </w:tblGrid>
      <w:tr>
        <w:trPr/>
        <w:tc>
          <w:tcPr>
            <w:tcW w:w="716"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9055" w:type="dxa"/>
            <w:tcBorders/>
            <w:vAlign w:val="center"/>
          </w:tcPr>
          <w:p>
            <w:pPr>
              <w:pStyle w:val="TableContents"/>
              <w:bidi w:val="0"/>
              <w:spacing w:before="0" w:after="283"/>
              <w:jc w:val="left"/>
              <w:rPr>
                <w:sz w:val="4"/>
                <w:szCs w:val="4"/>
              </w:rPr>
            </w:pPr>
            <w:r>
              <w:rPr>
                <w:sz w:val="4"/>
                <w:szCs w:val="4"/>
              </w:rPr>
            </w:r>
          </w:p>
        </w:tc>
      </w:tr>
      <w:tr>
        <w:trPr/>
        <w:tc>
          <w:tcPr>
            <w:tcW w:w="716" w:type="dxa"/>
            <w:tcBorders/>
            <w:vAlign w:val="bottom"/>
          </w:tcPr>
          <w:p>
            <w:pPr>
              <w:pStyle w:val="TableContents"/>
              <w:bidi w:val="0"/>
              <w:spacing w:before="0" w:after="283"/>
              <w:jc w:val="center"/>
              <w:rPr/>
            </w:pPr>
            <w:r>
              <w:rPr/>
              <w:t>Exhibit</w:t>
              <w:br/>
              <w:t>No.</w:t>
            </w:r>
          </w:p>
        </w:tc>
        <w:tc>
          <w:tcPr>
            <w:tcW w:w="434" w:type="dxa"/>
            <w:tcBorders/>
            <w:vAlign w:val="bottom"/>
          </w:tcPr>
          <w:p>
            <w:pPr>
              <w:pStyle w:val="TableContents"/>
              <w:bidi w:val="0"/>
              <w:spacing w:before="0" w:after="283"/>
              <w:jc w:val="left"/>
              <w:rPr/>
            </w:pPr>
            <w:r>
              <w:rPr/>
              <w:t>  </w:t>
            </w:r>
          </w:p>
        </w:tc>
        <w:tc>
          <w:tcPr>
            <w:tcW w:w="9055" w:type="dxa"/>
            <w:tcBorders/>
            <w:vAlign w:val="bottom"/>
          </w:tcPr>
          <w:p>
            <w:pPr>
              <w:pStyle w:val="TableContents"/>
              <w:bidi w:val="0"/>
              <w:spacing w:before="0" w:after="283"/>
              <w:jc w:val="left"/>
              <w:rPr/>
            </w:pPr>
            <w:r>
              <w:rPr/>
              <w:t>Description</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99.1</w:t>
            </w:r>
          </w:p>
        </w:tc>
        <w:tc>
          <w:tcPr>
            <w:tcW w:w="434" w:type="dxa"/>
            <w:tcBorders/>
            <w:vAlign w:val="bottom"/>
          </w:tcPr>
          <w:p>
            <w:pPr>
              <w:pStyle w:val="TableContents"/>
              <w:bidi w:val="0"/>
              <w:spacing w:before="0" w:after="283"/>
              <w:jc w:val="left"/>
              <w:rPr/>
            </w:pPr>
            <w:r>
              <w:rPr/>
              <w:t>  </w:t>
            </w:r>
          </w:p>
        </w:tc>
        <w:tc>
          <w:tcPr>
            <w:tcW w:w="9055" w:type="dxa"/>
            <w:tcBorders/>
          </w:tcPr>
          <w:p>
            <w:pPr>
              <w:pStyle w:val="TableContents"/>
              <w:bidi w:val="0"/>
              <w:spacing w:before="0" w:after="283"/>
              <w:jc w:val="left"/>
              <w:rPr/>
            </w:pPr>
            <w:hyperlink w:anchor="d31437dex991.htm">
              <w:r>
                <w:rPr>
                  <w:rStyle w:val="InternetLink"/>
                </w:rPr>
                <w:t xml:space="preserve">Press Release dated August 13,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7" w:type="dxa"/>
            <w:gridSpan w:val="3"/>
            <w:tcBorders/>
          </w:tcPr>
          <w:p>
            <w:pPr>
              <w:pStyle w:val="TableContents"/>
              <w:bidi w:val="0"/>
              <w:spacing w:before="0" w:after="283"/>
              <w:jc w:val="left"/>
              <w:rPr>
                <w:b/>
              </w:rPr>
            </w:pPr>
            <w:r>
              <w:rPr>
                <w:b/>
              </w:rPr>
              <w:t>Ascendis Pharma A/S</w:t>
            </w:r>
          </w:p>
        </w:tc>
      </w:tr>
      <w:tr>
        <w:trPr>
          <w:trHeight w:val="240" w:hRule="atLeast"/>
        </w:trPr>
        <w:tc>
          <w:tcPr>
            <w:tcW w:w="457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August 13, 2026</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Michael Wolff Jensen</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31437dex991.htm"/>
      <w:bookmarkStart w:id="3" w:name="ksd3143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6573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6286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Reports 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Q2 2026 product revenue of 315</w:t>
            </w:r>
            <w:r>
              <w:rPr>
                <w:rFonts w:ascii="Times New Roman" w:hAnsi="Times New Roman"/>
                <w:sz w:val="20"/>
              </w:rPr>
              <w:t> </w:t>
            </w:r>
            <w:r>
              <w:rPr>
                <w:rFonts w:ascii="Times New Roman" w:hAnsi="Times New Roman"/>
                <w:i/>
                <w:sz w:val="20"/>
              </w:rPr>
              <w:t>million (+105% Y/Y), comprising 252</w:t>
            </w:r>
            <w:r>
              <w:rPr>
                <w:rFonts w:ascii="Times New Roman" w:hAnsi="Times New Roman"/>
                <w:sz w:val="20"/>
              </w:rPr>
              <w:t> </w:t>
            </w:r>
            <w:r>
              <w:rPr>
                <w:rFonts w:ascii="Times New Roman" w:hAnsi="Times New Roman"/>
                <w:i/>
                <w:sz w:val="20"/>
              </w:rPr>
              <w:t>million for YORVIPATH®, 55</w:t>
            </w:r>
            <w:r>
              <w:rPr>
                <w:rFonts w:ascii="Times New Roman" w:hAnsi="Times New Roman"/>
                <w:sz w:val="20"/>
              </w:rPr>
              <w:t> </w:t>
            </w:r>
            <w:r>
              <w:rPr>
                <w:rFonts w:ascii="Times New Roman" w:hAnsi="Times New Roman"/>
                <w:i/>
                <w:sz w:val="20"/>
              </w:rPr>
              <w:t>million for SKYTROFA®, and 8</w:t>
            </w:r>
            <w:r>
              <w:rPr>
                <w:rFonts w:ascii="Times New Roman" w:hAnsi="Times New Roman"/>
                <w:sz w:val="20"/>
              </w:rPr>
              <w:t> </w:t>
            </w:r>
            <w:r>
              <w:rPr>
                <w:rFonts w:ascii="Times New Roman" w:hAnsi="Times New Roman"/>
                <w:i/>
                <w:sz w:val="20"/>
              </w:rPr>
              <w:t>million for YUVIWEL®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Through July</w:t>
            </w:r>
            <w:r>
              <w:rPr>
                <w:rFonts w:ascii="Times New Roman" w:hAnsi="Times New Roman"/>
                <w:sz w:val="20"/>
              </w:rPr>
              <w:t> </w:t>
            </w:r>
            <w:r>
              <w:rPr>
                <w:rFonts w:ascii="Times New Roman" w:hAnsi="Times New Roman"/>
                <w:i/>
                <w:sz w:val="20"/>
              </w:rPr>
              <w:t>31, more than 220 unique YUVIWEL patient enrollments in the 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i/>
                <w:sz w:val="20"/>
              </w:rPr>
              <w:t>Substantial pipeline updates: presented long-term Phase 2 &amp; 3 YORVIPATH data, shared Week 78 COACH Trial data, and completed target enrollment for pivotal infant reACHin Trial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Settled all convertible notes and Ascendis added to multiple Russell U.S. Indexes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i/>
                <w:sz w:val="20"/>
              </w:rPr>
              <w:t>Conference call today at 8:00 am ET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COPENHAGEN, Denmark, August</w:t>
      </w:r>
      <w:r>
        <w:rPr>
          <w:rFonts w:ascii="Times New Roman" w:hAnsi="Times New Roman"/>
          <w:sz w:val="20"/>
        </w:rPr>
        <w:t> </w:t>
      </w:r>
      <w:r>
        <w:rPr>
          <w:rFonts w:ascii="Times New Roman" w:hAnsi="Times New Roman"/>
          <w:b/>
          <w:sz w:val="20"/>
        </w:rPr>
        <w:t xml:space="preserve">13, 2026 (GLOBE NEWSWIRE) – </w:t>
      </w:r>
      <w:r>
        <w:rPr>
          <w:rFonts w:ascii="Times New Roman" w:hAnsi="Times New Roman"/>
          <w:sz w:val="20"/>
        </w:rPr>
        <w:t xml:space="preserve">Ascendis Pharma A/S (Nasdaq: ASND) today announced financial results for the second quarter ended June 30, 2026, and provided a business update. </w:t>
      </w:r>
    </w:p>
    <w:p>
      <w:pPr>
        <w:pStyle w:val="TextBody"/>
        <w:bidi w:val="0"/>
        <w:spacing w:before="240" w:after="0"/>
        <w:jc w:val="left"/>
        <w:rPr/>
      </w:pPr>
      <w:r>
        <w:rPr/>
        <w:t>“</w:t>
      </w:r>
      <w:r>
        <w:rPr>
          <w:rFonts w:ascii="Times New Roman" w:hAnsi="Times New Roman"/>
          <w:sz w:val="20"/>
        </w:rPr>
        <w:t xml:space="preserve">Our patient focus has driven achievement of important milestones and strong demand for our TransCon products as Ascendis continues to transform into a leading biopharma company,” said Jan Mikkelsen, President and Chief Executive Officer of Ascendis Pharma. “This focus on addressing unmet medical needs continues to drive a growing pipeline of innovative TransCon programs, further positioning Ascendis for durable, long-term growth in rare endocrine diseases and new therapeutic areas.” </w:t>
      </w:r>
    </w:p>
    <w:p>
      <w:pPr>
        <w:pStyle w:val="TextBody"/>
        <w:bidi w:val="0"/>
        <w:spacing w:before="360" w:after="0"/>
        <w:jc w:val="left"/>
        <w:rPr>
          <w:rFonts w:ascii="Times New Roman" w:hAnsi="Times New Roman"/>
          <w:b/>
          <w:sz w:val="20"/>
        </w:rPr>
      </w:pPr>
      <w:r>
        <w:rPr>
          <w:rFonts w:ascii="Times New Roman" w:hAnsi="Times New Roman"/>
          <w:b/>
          <w:sz w:val="20"/>
        </w:rPr>
        <w:t xml:space="preserve">Select Highlights &amp; Anticipated 2026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YORVIPATH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(palopegteriparatide, developed as TransCon PTH)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YORVIPATH revenue for the second quarter of 2026 totaled 252 million, reflecting consistent new patient demand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of the U.S., consistent new patient demand and continued expansion of global commercial launches with full reimbursement. Now available commercially or through named patient programs in more than 35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5-year Phase 2 PaTH Forward data at ECE 2026 and 3.5-year Phase 3 PaTHway data at ENDO 2026 showing that long-term treatment with TransCon PTH demonstrated sustained efficacy and safety in adults with hypoparathyroidism.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label expansion trials through PaTHway60 and PaTHway Adolescent.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SKYTROFA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(lonapegsomatropin, developed as TransCon hGH)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SKYTROFA revenue for the second quarter of 2026 totaled 55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20,000 unique enrollments globally since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Phase 3 HighLiGHts basket trial across a range of established growth hormone indications: idiopathic short stature (ISS), SHOX deficiency, Turner syndrome, and small for gestational age (SGA).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YUVIWEL </w:t>
            </w:r>
          </w:p>
        </w:tc>
      </w:tr>
    </w:tbl>
    <w:p>
      <w:pPr>
        <w:pStyle w:val="TextBody"/>
        <w:bidi w:val="0"/>
        <w:spacing w:before="120" w:after="0"/>
        <w:jc w:val="left"/>
        <w:rPr>
          <w:rFonts w:ascii="Times New Roman" w:hAnsi="Times New Roman"/>
          <w:sz w:val="20"/>
        </w:rPr>
      </w:pPr>
      <w:r>
        <w:rPr>
          <w:rFonts w:ascii="Times New Roman" w:hAnsi="Times New Roman"/>
          <w:i/>
          <w:sz w:val="20"/>
        </w:rPr>
        <w:t>(navepegritide, developed as TransCon CNP)</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YUVIWEL revenue for the second quarter of 2026 totaled 8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220 unique YUVIWEL patient enrollments by more than 100 prescribing healthcare providers, with more than 65% of enrollments approved for reimbursement in the U.S. through July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Authorisation Application remains under review by the European Medicines Agency, with a decision anticipated in the fourth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YUVIWEL available in select International Markets countries through early access programs using U.S. FDA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target enrollment for pivotal reACHin Trial, supporting planned regulatory filings for infants 0 to &lt;2 years of age with achondroplasia.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 to initiate enrollment in Phase 3 trial in the second half of the year to investigate TransCon CNP monotherapy for the treatment of hypochondroplasia.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CNP + TransCon hGH Combination Therapy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(navepegritide plus lonapegsomatropin)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Week 78 COACH Trial data showed sustained unprecedented efficacy over 78 weeks with no compromise to safety or tolerability.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date, 100% of the 21 enrolled children completed 78 weeks of treatment and remain on therapy in the COACH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 to initiate enrollment in Phase 3 trial of TransCon CNP and TransCon hGH in pediatric achondroplasia in the fourth quarter of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product revenue for the second quarter of 2026 increased to 315 million, reflecting year-over-year growth of +105%.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for the second quarter of 2026 was 339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profit for the second quarter of 2026 totaled 220 million, reflecting a margin of 65%. On a non-IFRS basis, operating profit was 92 million*, reflecting a margin of 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profit for the second quarter of 2026 totaled 207 million, or 2.83 per diluted share. On a non-IFRS basis, net profit was 61 million*, or 0.90 per diluted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Ascendis Pharma had cash and cash equivalents totaling 812 million, which includes the use of 56 million in the second quarter for our previously announced share repurchase program and the net settlement of certain Restricted Stock Units. As of December 31, 2025, cash and cash equivalents totaled 616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the Company closed the sale of its Rare Pediatric Disease Priority Review Voucher (PRV) to an undisclosed buyer with payment of 158 million in cash, net of transaction-related expenses. The PRV was awarded by the FDA upon approval of YUVIWEL in February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May 6, 2026, the Company completed its previously announced optional redemption process with respect to all outstanding $575 million of 2.25% Convertible Senior Notes due 2028, resulting in the conversion of all outstanding notes. The conversions resulted in the settlement of the current liabilities of convertible notes to equity, comprising borrowings and derivative liabilities totaling 719 million as of 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close of market on June 26, 2026, the Company was added to multiple Russell U.S. Indexes, including the Russell 3000, Russell 1000, Russell 2500 and Russell Midcap Indexes.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See “Non-IFRS Financial Measures” below for definitions of these non-IFRS measures and a reconciliation to the most directly comparable IFRS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Total revenue for the second quarter of 2026 was 339 million, compared to 158 million during the same period in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8"/>
        <w:gridCol w:w="149"/>
        <w:gridCol w:w="60"/>
        <w:gridCol w:w="879"/>
        <w:gridCol w:w="60"/>
        <w:gridCol w:w="149"/>
        <w:gridCol w:w="60"/>
        <w:gridCol w:w="879"/>
        <w:gridCol w:w="60"/>
        <w:gridCol w:w="149"/>
        <w:gridCol w:w="60"/>
        <w:gridCol w:w="809"/>
        <w:gridCol w:w="59"/>
        <w:gridCol w:w="149"/>
        <w:gridCol w:w="60"/>
        <w:gridCol w:w="809"/>
        <w:gridCol w:w="66"/>
      </w:tblGrid>
      <w:tr>
        <w:trPr/>
        <w:tc>
          <w:tcPr>
            <w:tcW w:w="5748"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74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Total Revenue</w:t>
            </w:r>
          </w:p>
          <w:p>
            <w:pPr>
              <w:pStyle w:val="TableContents"/>
              <w:bidi w:val="0"/>
              <w:spacing w:before="0" w:after="20"/>
              <w:jc w:val="left"/>
              <w:rPr>
                <w:rFonts w:ascii="Times New Roman" w:hAnsi="Times New Roman"/>
                <w:b/>
                <w:sz w:val="16"/>
              </w:rPr>
            </w:pPr>
            <w:r>
              <w:rPr>
                <w:rFonts w:ascii="Times New Roman" w:hAnsi="Times New Roman"/>
                <w:b/>
                <w:sz w:val="16"/>
              </w:rPr>
              <w:t>(In EUR’000s)</w:t>
            </w:r>
          </w:p>
        </w:tc>
        <w:tc>
          <w:tcPr>
            <w:tcW w:w="149" w:type="dxa"/>
            <w:tcBorders/>
            <w:vAlign w:val="bottom"/>
          </w:tcPr>
          <w:p>
            <w:pPr>
              <w:pStyle w:val="TableContents"/>
              <w:bidi w:val="0"/>
              <w:spacing w:before="0" w:after="283"/>
              <w:jc w:val="left"/>
              <w:rPr/>
            </w:pPr>
            <w:r>
              <w:rPr/>
              <w:t>  </w:t>
            </w:r>
          </w:p>
        </w:tc>
        <w:tc>
          <w:tcPr>
            <w:tcW w:w="20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6" w:type="dxa"/>
            <w:tcBorders/>
            <w:vAlign w:val="bottom"/>
          </w:tcPr>
          <w:p>
            <w:pPr>
              <w:pStyle w:val="TableContents"/>
              <w:bidi w:val="0"/>
              <w:spacing w:before="0" w:after="283"/>
              <w:jc w:val="left"/>
              <w:rPr/>
            </w:pPr>
            <w:r>
              <w:rPr/>
              <w:t> </w:t>
            </w:r>
          </w:p>
        </w:tc>
      </w:tr>
      <w:tr>
        <w:trPr/>
        <w:tc>
          <w:tcPr>
            <w:tcW w:w="574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5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748"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products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314,910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153,663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555,763</w:t>
            </w:r>
          </w:p>
        </w:tc>
        <w:tc>
          <w:tcPr>
            <w:tcW w:w="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249,690</w:t>
            </w:r>
          </w:p>
        </w:tc>
        <w:tc>
          <w:tcPr>
            <w:tcW w:w="66" w:type="dxa"/>
            <w:tcBorders/>
            <w:vAlign w:val="bottom"/>
          </w:tcPr>
          <w:p>
            <w:pPr>
              <w:pStyle w:val="TableContents"/>
              <w:bidi w:val="0"/>
              <w:spacing w:before="0" w:after="283"/>
              <w:jc w:val="left"/>
              <w:rPr/>
            </w:pPr>
            <w:r>
              <w:rPr/>
              <w:t> </w:t>
            </w:r>
          </w:p>
        </w:tc>
      </w:tr>
      <w:tr>
        <w:trPr/>
        <w:tc>
          <w:tcPr>
            <w:tcW w:w="5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and clinical supply</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4,856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9,965</w:t>
            </w:r>
          </w:p>
        </w:tc>
        <w:tc>
          <w:tcPr>
            <w:tcW w:w="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7,094</w:t>
            </w:r>
          </w:p>
        </w:tc>
        <w:tc>
          <w:tcPr>
            <w:tcW w:w="66" w:type="dxa"/>
            <w:tcBorders/>
            <w:shd w:fill="CCEEFF" w:val="clear"/>
            <w:vAlign w:val="bottom"/>
          </w:tcPr>
          <w:p>
            <w:pPr>
              <w:pStyle w:val="TableContents"/>
              <w:bidi w:val="0"/>
              <w:spacing w:before="0" w:after="283"/>
              <w:jc w:val="left"/>
              <w:rPr/>
            </w:pPr>
            <w:r>
              <w:rPr/>
              <w:t> </w:t>
            </w:r>
          </w:p>
        </w:tc>
      </w:tr>
      <w:tr>
        <w:trPr/>
        <w:tc>
          <w:tcPr>
            <w:tcW w:w="5748" w:type="dxa"/>
            <w:tcBorders/>
          </w:tcPr>
          <w:p>
            <w:pPr>
              <w:pStyle w:val="TableContents"/>
              <w:bidi w:val="0"/>
              <w:spacing w:before="0" w:after="0"/>
              <w:jc w:val="left"/>
              <w:rPr>
                <w:rFonts w:ascii="Times New Roman" w:hAnsi="Times New Roman"/>
                <w:sz w:val="20"/>
              </w:rPr>
            </w:pPr>
            <w:r>
              <w:rPr>
                <w:rFonts w:ascii="Times New Roman" w:hAnsi="Times New Roman"/>
                <w:sz w:val="20"/>
              </w:rPr>
              <w:t>Licenses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2,473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812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3,112</w:t>
            </w:r>
          </w:p>
        </w:tc>
        <w:tc>
          <w:tcPr>
            <w:tcW w:w="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2,214</w:t>
            </w:r>
          </w:p>
        </w:tc>
        <w:tc>
          <w:tcPr>
            <w:tcW w:w="66" w:type="dxa"/>
            <w:tcBorders/>
            <w:vAlign w:val="bottom"/>
          </w:tcPr>
          <w:p>
            <w:pPr>
              <w:pStyle w:val="TableContents"/>
              <w:bidi w:val="0"/>
              <w:spacing w:before="0" w:after="283"/>
              <w:jc w:val="left"/>
              <w:rPr/>
            </w:pPr>
            <w:r>
              <w:rPr/>
              <w:t> </w:t>
            </w:r>
          </w:p>
        </w:tc>
      </w:tr>
      <w:tr>
        <w:trPr/>
        <w:tc>
          <w:tcPr>
            <w:tcW w:w="5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Milestones</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17,046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17,046</w:t>
            </w:r>
          </w:p>
        </w:tc>
        <w:tc>
          <w:tcPr>
            <w:tcW w:w="5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74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7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339,285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158,045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585,886</w:t>
            </w:r>
          </w:p>
        </w:tc>
        <w:tc>
          <w:tcPr>
            <w:tcW w:w="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258,998</w:t>
            </w:r>
          </w:p>
        </w:tc>
        <w:tc>
          <w:tcPr>
            <w:tcW w:w="66" w:type="dxa"/>
            <w:tcBorders/>
            <w:vAlign w:val="bottom"/>
          </w:tcPr>
          <w:p>
            <w:pPr>
              <w:pStyle w:val="TableContents"/>
              <w:bidi w:val="0"/>
              <w:spacing w:before="0" w:after="283"/>
              <w:jc w:val="left"/>
              <w:rPr/>
            </w:pPr>
            <w:r>
              <w:rPr/>
              <w:t> </w:t>
            </w:r>
          </w:p>
        </w:tc>
      </w:tr>
      <w:tr>
        <w:trPr/>
        <w:tc>
          <w:tcPr>
            <w:tcW w:w="5748"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92"/>
        <w:gridCol w:w="147"/>
        <w:gridCol w:w="60"/>
        <w:gridCol w:w="869"/>
        <w:gridCol w:w="60"/>
        <w:gridCol w:w="147"/>
        <w:gridCol w:w="60"/>
        <w:gridCol w:w="869"/>
        <w:gridCol w:w="60"/>
        <w:gridCol w:w="147"/>
        <w:gridCol w:w="60"/>
        <w:gridCol w:w="801"/>
        <w:gridCol w:w="60"/>
        <w:gridCol w:w="147"/>
        <w:gridCol w:w="60"/>
        <w:gridCol w:w="801"/>
        <w:gridCol w:w="65"/>
      </w:tblGrid>
      <w:tr>
        <w:trPr/>
        <w:tc>
          <w:tcPr>
            <w:tcW w:w="579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92" w:type="dxa"/>
            <w:tcBorders/>
            <w:vAlign w:val="bottom"/>
          </w:tcPr>
          <w:p>
            <w:pPr>
              <w:pStyle w:val="TableContents"/>
              <w:bidi w:val="0"/>
              <w:spacing w:before="0" w:after="283"/>
              <w:jc w:val="left"/>
              <w:rPr>
                <w:b/>
              </w:rPr>
            </w:pPr>
            <w:r>
              <w:rPr>
                <w:b/>
              </w:rPr>
              <w:t xml:space="preserve">Revenue from Commercial Products </w:t>
              <w:br/>
              <w:t>(In EUR’000s)</w:t>
            </w:r>
          </w:p>
        </w:tc>
        <w:tc>
          <w:tcPr>
            <w:tcW w:w="147" w:type="dxa"/>
            <w:tcBorders/>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5" w:type="dxa"/>
            <w:tcBorders/>
            <w:vAlign w:val="bottom"/>
          </w:tcPr>
          <w:p>
            <w:pPr>
              <w:pStyle w:val="TableContents"/>
              <w:bidi w:val="0"/>
              <w:spacing w:before="0" w:after="283"/>
              <w:jc w:val="left"/>
              <w:rPr/>
            </w:pPr>
            <w:r>
              <w:rPr/>
              <w:t> </w:t>
            </w:r>
          </w:p>
        </w:tc>
      </w:tr>
      <w:tr>
        <w:trPr/>
        <w:tc>
          <w:tcPr>
            <w:tcW w:w="579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7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 from commercial products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92" w:type="dxa"/>
            <w:tcBorders/>
          </w:tcPr>
          <w:p>
            <w:pPr>
              <w:pStyle w:val="TableContents"/>
              <w:bidi w:val="0"/>
              <w:spacing w:before="0" w:after="0"/>
              <w:jc w:val="left"/>
              <w:rPr>
                <w:rFonts w:ascii="Times New Roman" w:hAnsi="Times New Roman"/>
                <w:sz w:val="20"/>
              </w:rPr>
            </w:pPr>
            <w:r>
              <w:rPr>
                <w:rFonts w:ascii="Times New Roman" w:hAnsi="Times New Roman"/>
                <w:sz w:val="20"/>
              </w:rPr>
              <w:t>YORVIPATH®</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252,114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102,957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449,010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147,646</w:t>
            </w:r>
          </w:p>
        </w:tc>
        <w:tc>
          <w:tcPr>
            <w:tcW w:w="65" w:type="dxa"/>
            <w:tcBorders/>
            <w:vAlign w:val="bottom"/>
          </w:tcPr>
          <w:p>
            <w:pPr>
              <w:pStyle w:val="TableContents"/>
              <w:bidi w:val="0"/>
              <w:spacing w:before="0" w:after="283"/>
              <w:jc w:val="left"/>
              <w:rPr/>
            </w:pPr>
            <w:r>
              <w:rPr/>
              <w:t> </w:t>
            </w:r>
          </w:p>
        </w:tc>
      </w:tr>
      <w:tr>
        <w:trPr/>
        <w:tc>
          <w:tcPr>
            <w:tcW w:w="5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SKYTROFA®</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55,214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50,706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99,171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102,044</w:t>
            </w:r>
          </w:p>
        </w:tc>
        <w:tc>
          <w:tcPr>
            <w:tcW w:w="65" w:type="dxa"/>
            <w:tcBorders/>
            <w:shd w:fill="CCEEFF" w:val="clear"/>
            <w:vAlign w:val="bottom"/>
          </w:tcPr>
          <w:p>
            <w:pPr>
              <w:pStyle w:val="TableContents"/>
              <w:bidi w:val="0"/>
              <w:spacing w:before="0" w:after="283"/>
              <w:jc w:val="left"/>
              <w:rPr/>
            </w:pPr>
            <w:r>
              <w:rPr/>
              <w:t> </w:t>
            </w:r>
          </w:p>
        </w:tc>
      </w:tr>
      <w:tr>
        <w:trPr/>
        <w:tc>
          <w:tcPr>
            <w:tcW w:w="5792" w:type="dxa"/>
            <w:tcBorders/>
          </w:tcPr>
          <w:p>
            <w:pPr>
              <w:pStyle w:val="TableContents"/>
              <w:bidi w:val="0"/>
              <w:spacing w:before="0" w:after="0"/>
              <w:jc w:val="left"/>
              <w:rPr>
                <w:rFonts w:ascii="Times New Roman" w:hAnsi="Times New Roman"/>
                <w:sz w:val="20"/>
              </w:rPr>
            </w:pPr>
            <w:r>
              <w:rPr>
                <w:rFonts w:ascii="Times New Roman" w:hAnsi="Times New Roman"/>
                <w:sz w:val="20"/>
              </w:rPr>
              <w:t>YUVIWEL®</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7,582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7,582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79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 from commercial products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314,910</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153,663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555,763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249,690</w:t>
            </w:r>
          </w:p>
        </w:tc>
        <w:tc>
          <w:tcPr>
            <w:tcW w:w="65" w:type="dxa"/>
            <w:tcBorders/>
            <w:shd w:fill="CCEEFF" w:val="clear"/>
            <w:vAlign w:val="bottom"/>
          </w:tcPr>
          <w:p>
            <w:pPr>
              <w:pStyle w:val="TableContents"/>
              <w:bidi w:val="0"/>
              <w:spacing w:before="0" w:after="283"/>
              <w:jc w:val="left"/>
              <w:rPr/>
            </w:pPr>
            <w:r>
              <w:rPr/>
              <w:t> </w:t>
            </w:r>
          </w:p>
        </w:tc>
      </w:tr>
      <w:tr>
        <w:trPr/>
        <w:tc>
          <w:tcPr>
            <w:tcW w:w="579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for the second quarter of 2026 were 76 million, compared to 72 million during the same period in 2025. The higher expenses were due to increased clinical trial activities within the Endocrinology Rare Disease pipeline, offset by reduced clinical trial activities within Oncology.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for the second quarter of 2026 were 173 million, compared to 108 million during the same period in 2025. The increase was primarily due to the continued impact from commercial expansion, including global launch activities.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expenses for the second quarter of 2026 were 249 million compared to 180 million during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Operating profit for the second quarter of 2026 was 220 million, compared to an operating loss of 53 million during the same period in 2025. The increase was primarily driven by growth in product revenue and sale of the PRV for 158 million in cash, net of transaction-related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Net finance income for the second quarter of 2026 was 6 million, compared to 22 million in the same period in 2025. The change was primarily driven by non-cash items.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2026, Ascendis Pharma reported a net profit of 207 million, or 3.22 per basic share and 2.83 per diluted share, compared to a net loss of 39 million, or 0.64 per basic share and 0.82 per diluted share for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Cash flows from operating activities for the six months ended June 30, 2026, were 274 million compared to 22 million used during the same period in 2025. The increase in cash flows from operating activities was primarily related to commercial revenue growth and sale of the PRV.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Ascendis Pharma had 66,189,926 ordinary shares outstanding, of which 516,642 were held as treasury shares.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2026, non-IFRS operating profit was 92 million, compared to a non-IFRS operating loss of 23 million for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2026, non-IFRS net profit was 61 million, or 0.90 earnings per diluted share, compared to a non-IFRS net profit of 4 million, or 0.07 earnings per diluted share, for the same period in 2025.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Ascendis Pharma will host a conference call and webcast today at 8:00 am Eastern Time (ET) to discuss its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Those who would like to participate may access the live webcast </w:t>
      </w:r>
      <w:r>
        <w:rPr>
          <w:rFonts w:ascii="Times New Roman" w:hAnsi="Times New Roman"/>
          <w:sz w:val="20"/>
          <w:u w:val="single"/>
        </w:rPr>
        <w:t>here</w:t>
      </w:r>
      <w:r>
        <w:rPr>
          <w:rFonts w:ascii="Times New Roman" w:hAnsi="Times New Roman"/>
          <w:sz w:val="20"/>
        </w:rPr>
        <w:t xml:space="preserve">, or register in advance for the teleconference </w:t>
      </w:r>
      <w:r>
        <w:rPr>
          <w:rFonts w:ascii="Times New Roman" w:hAnsi="Times New Roman"/>
          <w:sz w:val="20"/>
          <w:u w:val="single"/>
        </w:rPr>
        <w:t>here</w:t>
      </w:r>
      <w:r>
        <w:rPr>
          <w:rFonts w:ascii="Times New Roman" w:hAnsi="Times New Roman"/>
          <w:sz w:val="20"/>
        </w:rPr>
        <w:t xml:space="preserve">. The link to the live webcast will also be available on the Investors &amp; News section of the Ascendis Pharma website at </w:t>
      </w:r>
      <w:r>
        <w:rPr>
          <w:rFonts w:ascii="Times New Roman" w:hAnsi="Times New Roman"/>
          <w:sz w:val="20"/>
          <w:u w:val="single"/>
        </w:rPr>
        <w:t>https://investors.ascendispharma.com</w:t>
      </w:r>
      <w:r>
        <w:rPr>
          <w:rFonts w:ascii="Times New Roman" w:hAnsi="Times New Roman"/>
          <w:sz w:val="20"/>
        </w:rPr>
        <w:t xml:space="preserve">. A replay of the webcast will be available in this section of the Ascendis Pharma website shortly after the conclusion of the event for 30 days. </w:t>
      </w:r>
    </w:p>
    <w:p>
      <w:pPr>
        <w:pStyle w:val="TextBody"/>
        <w:bidi w:val="0"/>
        <w:spacing w:before="360" w:after="0"/>
        <w:jc w:val="left"/>
        <w:rPr>
          <w:rFonts w:ascii="Times New Roman" w:hAnsi="Times New Roman"/>
          <w:b/>
          <w:sz w:val="20"/>
        </w:rPr>
      </w:pPr>
      <w:r>
        <w:rPr>
          <w:rFonts w:ascii="Times New Roman" w:hAnsi="Times New Roman"/>
          <w:b/>
          <w:sz w:val="20"/>
        </w:rPr>
        <w:t xml:space="preserve">About Ascendis Pharma A/S </w:t>
      </w:r>
    </w:p>
    <w:p>
      <w:pPr>
        <w:pStyle w:val="TextBody"/>
        <w:bidi w:val="0"/>
        <w:spacing w:before="120" w:after="0"/>
        <w:jc w:val="left"/>
        <w:rPr>
          <w:rFonts w:ascii="Times New Roman" w:hAnsi="Times New Roman"/>
          <w:sz w:val="20"/>
        </w:rPr>
      </w:pPr>
      <w:r>
        <w:rPr>
          <w:rFonts w:ascii="Times New Roman" w:hAnsi="Times New Roman"/>
          <w:sz w:val="20"/>
        </w:rPr>
        <w:t xml:space="preserve">Ascendis Pharma is a global biopharmaceutical company focused on applying our innovative TransCon technology platform to make a meaningful difference for patients. Guided by our core values of Patients, Science, and Passion, and following our algorithm for product innovation, we apply TransCon to develop new therapies that demonstrate best-in-class potential to address unmet medical needs. Ascendis is headquartered in Copenhagen, Denmark, and has additional facilities in Europe and the United States. Please visit ascendispharma.com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facts, included in this press release regarding Ascendis’ future operations, results,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anticipated timing of a regulatory decision from the European Medicines Agency, (ii) anticipated timing and plans of clinical trials and development activities, including expected timing of patient recruitment and trial initiation, (iii) Ascendis’ ability to apply its TransCon technology platform to make a meaningful difference for patients, (iv) Ascendis’ use of TransCon to create new and potentially best-in-class therapies, (v) plans for regulatory filings and label expansions, and (vi) expectations regarding continued patient demand, product uptake, reimbursement coverage, future growth and market positioning.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p>
    <w:p>
      <w:pPr>
        <w:pStyle w:val="TextBody"/>
        <w:bidi w:val="0"/>
        <w:spacing w:before="240" w:after="0"/>
        <w:jc w:val="left"/>
        <w:rPr>
          <w:rFonts w:ascii="Times New Roman" w:hAnsi="Times New Roman"/>
          <w:i/>
          <w:sz w:val="20"/>
        </w:rPr>
      </w:pPr>
      <w:r>
        <w:rPr>
          <w:rFonts w:ascii="Times New Roman" w:hAnsi="Times New Roman"/>
          <w:i/>
          <w:sz w:val="20"/>
        </w:rPr>
        <w:t xml:space="preserve">Ascendis, Ascendis Pharma, the Ascendis Pharma logo, the company logo, TransCon, SKYTROFA®, YORVIPATH®, and YUVIWEL® are trademarks owned by the Ascendis Pharma group. © August 2026 Ascendis Pharma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9"/>
        <w:gridCol w:w="121"/>
        <w:gridCol w:w="4855"/>
      </w:tblGrid>
      <w:tr>
        <w:trPr/>
        <w:tc>
          <w:tcPr>
            <w:tcW w:w="52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r>
      <w:tr>
        <w:trPr/>
        <w:tc>
          <w:tcPr>
            <w:tcW w:w="52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Investor Contact:</w:t>
            </w:r>
          </w:p>
        </w:tc>
        <w:tc>
          <w:tcPr>
            <w:tcW w:w="121" w:type="dxa"/>
            <w:tcBorders/>
            <w:vAlign w:val="bottom"/>
          </w:tcPr>
          <w:p>
            <w:pPr>
              <w:pStyle w:val="TableContents"/>
              <w:bidi w:val="0"/>
              <w:spacing w:before="0" w:after="283"/>
              <w:jc w:val="left"/>
              <w:rPr/>
            </w:pPr>
            <w:r>
              <w:rPr/>
              <w:t>  </w:t>
            </w:r>
          </w:p>
        </w:tc>
        <w:tc>
          <w:tcPr>
            <w:tcW w:w="48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Media Contact:</w:t>
            </w:r>
          </w:p>
        </w:tc>
      </w:tr>
      <w:tr>
        <w:trPr/>
        <w:tc>
          <w:tcPr>
            <w:tcW w:w="5229" w:type="dxa"/>
            <w:tcBorders/>
          </w:tcPr>
          <w:p>
            <w:pPr>
              <w:pStyle w:val="TableContents"/>
              <w:bidi w:val="0"/>
              <w:spacing w:before="0" w:after="283"/>
              <w:jc w:val="left"/>
              <w:rPr/>
            </w:pPr>
            <w:r>
              <w:rPr/>
              <w:t>Chad Fugere</w:t>
            </w:r>
          </w:p>
        </w:tc>
        <w:tc>
          <w:tcPr>
            <w:tcW w:w="121"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left"/>
              <w:rPr/>
            </w:pPr>
            <w:r>
              <w:rPr/>
              <w:t>Melinda Baker</w:t>
            </w:r>
          </w:p>
        </w:tc>
      </w:tr>
      <w:tr>
        <w:trPr/>
        <w:tc>
          <w:tcPr>
            <w:tcW w:w="5229" w:type="dxa"/>
            <w:tcBorders/>
          </w:tcPr>
          <w:p>
            <w:pPr>
              <w:pStyle w:val="TableContents"/>
              <w:bidi w:val="0"/>
              <w:spacing w:before="0" w:after="283"/>
              <w:jc w:val="left"/>
              <w:rPr/>
            </w:pPr>
            <w:r>
              <w:rPr/>
              <w:t>Ascendis Pharma</w:t>
            </w:r>
          </w:p>
        </w:tc>
        <w:tc>
          <w:tcPr>
            <w:tcW w:w="121"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left"/>
              <w:rPr/>
            </w:pPr>
            <w:r>
              <w:rPr/>
              <w:t>Ascendis Pharma</w:t>
            </w:r>
          </w:p>
        </w:tc>
      </w:tr>
      <w:tr>
        <w:trPr/>
        <w:tc>
          <w:tcPr>
            <w:tcW w:w="5229" w:type="dxa"/>
            <w:tcBorders/>
          </w:tcPr>
          <w:p>
            <w:pPr>
              <w:pStyle w:val="TableContents"/>
              <w:bidi w:val="0"/>
              <w:spacing w:before="0" w:after="283"/>
              <w:jc w:val="left"/>
              <w:rPr/>
            </w:pPr>
            <w:r>
              <w:rPr/>
              <w:t>+1 (650) 519-7494</w:t>
            </w:r>
          </w:p>
        </w:tc>
        <w:tc>
          <w:tcPr>
            <w:tcW w:w="121"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left"/>
              <w:rPr/>
            </w:pPr>
            <w:r>
              <w:rPr/>
              <w:t>+1 (650) 709-8875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FINANCIAL TABLES FOLLOW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7"/>
        <w:gridCol w:w="136"/>
        <w:gridCol w:w="60"/>
        <w:gridCol w:w="875"/>
        <w:gridCol w:w="160"/>
        <w:gridCol w:w="93"/>
        <w:gridCol w:w="60"/>
        <w:gridCol w:w="875"/>
        <w:gridCol w:w="155"/>
        <w:gridCol w:w="93"/>
        <w:gridCol w:w="60"/>
        <w:gridCol w:w="875"/>
        <w:gridCol w:w="155"/>
        <w:gridCol w:w="93"/>
        <w:gridCol w:w="60"/>
        <w:gridCol w:w="875"/>
        <w:gridCol w:w="163"/>
      </w:tblGrid>
      <w:tr>
        <w:trPr/>
        <w:tc>
          <w:tcPr>
            <w:tcW w:w="541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1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 xml:space="preserve">Ascendis Pharma A/S </w:t>
              <w:br/>
              <w:t>Unaudited Condensed Consolidated</w:t>
            </w:r>
          </w:p>
          <w:p>
            <w:pPr>
              <w:pStyle w:val="TableContents"/>
              <w:bidi w:val="0"/>
              <w:spacing w:before="0" w:after="0"/>
              <w:jc w:val="left"/>
              <w:rPr>
                <w:rFonts w:ascii="Times New Roman" w:hAnsi="Times New Roman"/>
                <w:b/>
                <w:sz w:val="16"/>
              </w:rPr>
            </w:pPr>
            <w:r>
              <w:rPr>
                <w:rFonts w:ascii="Times New Roman" w:hAnsi="Times New Roman"/>
                <w:b/>
                <w:sz w:val="16"/>
              </w:rPr>
              <w:t>Statements of Profit or (Loss) and</w:t>
            </w:r>
          </w:p>
          <w:p>
            <w:pPr>
              <w:pStyle w:val="TableContents"/>
              <w:bidi w:val="0"/>
              <w:spacing w:before="0" w:after="20"/>
              <w:jc w:val="left"/>
              <w:rPr>
                <w:rFonts w:ascii="Times New Roman" w:hAnsi="Times New Roman"/>
                <w:b/>
                <w:sz w:val="16"/>
              </w:rPr>
            </w:pPr>
            <w:r>
              <w:rPr>
                <w:rFonts w:ascii="Times New Roman" w:hAnsi="Times New Roman"/>
                <w:b/>
                <w:sz w:val="16"/>
              </w:rPr>
              <w:t xml:space="preserve">Comprehensive Income / (Loss) </w:t>
              <w:br/>
              <w:t>(In EUR’000s, except per share data)</w:t>
            </w:r>
          </w:p>
        </w:tc>
        <w:tc>
          <w:tcPr>
            <w:tcW w:w="136" w:type="dxa"/>
            <w:tcBorders/>
            <w:vAlign w:val="bottom"/>
          </w:tcPr>
          <w:p>
            <w:pPr>
              <w:pStyle w:val="TableContents"/>
              <w:bidi w:val="0"/>
              <w:spacing w:before="0" w:after="283"/>
              <w:jc w:val="left"/>
              <w:rPr/>
            </w:pPr>
            <w:r>
              <w:rPr/>
              <w:t>  </w:t>
            </w:r>
          </w:p>
        </w:tc>
        <w:tc>
          <w:tcPr>
            <w:tcW w:w="21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3" w:type="dxa"/>
            <w:tcBorders/>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Profit or (Loss)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417"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339,285</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158,045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585,886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258,998</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(27,658</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(31,447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(45,173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(48,963</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311,627</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126,598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540,713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210,035</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(75,888</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(71,988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(134,932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(158,591</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(173,341</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(107,561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(318,571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(208,608</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158,067</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158,067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profit/(loss)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220,465</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(52,951</w:t>
            </w:r>
          </w:p>
        </w:tc>
        <w:tc>
          <w:tcPr>
            <w:tcW w:w="15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245,277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(157,164</w:t>
            </w:r>
          </w:p>
        </w:tc>
        <w:tc>
          <w:tcPr>
            <w:tcW w:w="163" w:type="dxa"/>
            <w:tcBorders/>
            <w:vAlign w:val="bottom"/>
          </w:tcPr>
          <w:p>
            <w:pPr>
              <w:pStyle w:val="TableContents"/>
              <w:bidi w:val="0"/>
              <w:spacing w:before="0" w:after="283"/>
              <w:jc w:val="left"/>
              <w:rPr>
                <w:b/>
              </w:rPr>
            </w:pPr>
            <w:r>
              <w:rPr>
                <w:b/>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profit/(loss) of associates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3,836</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(4,097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(6,415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22,482</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19,965</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55,059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9,347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83,912</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(14,173</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(33,018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(66,292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(77,803</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Profit/(loss) before tax</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230,093</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(35,007</w:t>
            </w:r>
          </w:p>
        </w:tc>
        <w:tc>
          <w:tcPr>
            <w:tcW w:w="15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181,917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(128,573</w:t>
            </w:r>
          </w:p>
        </w:tc>
        <w:tc>
          <w:tcPr>
            <w:tcW w:w="163" w:type="dxa"/>
            <w:tcBorders/>
            <w:vAlign w:val="bottom"/>
          </w:tcPr>
          <w:p>
            <w:pPr>
              <w:pStyle w:val="TableContents"/>
              <w:bidi w:val="0"/>
              <w:spacing w:before="0" w:after="283"/>
              <w:jc w:val="left"/>
              <w:rPr>
                <w:b/>
              </w:rPr>
            </w:pPr>
            <w:r>
              <w:rPr>
                <w:b/>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(23,123</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(3,848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654,393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(4,909</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206,970</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(38,855</w:t>
            </w:r>
          </w:p>
        </w:tc>
        <w:tc>
          <w:tcPr>
            <w:tcW w:w="15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836,310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(133,482</w:t>
            </w:r>
          </w:p>
        </w:tc>
        <w:tc>
          <w:tcPr>
            <w:tcW w:w="163" w:type="dxa"/>
            <w:tcBorders/>
            <w:vAlign w:val="bottom"/>
          </w:tcPr>
          <w:p>
            <w:pPr>
              <w:pStyle w:val="TableContents"/>
              <w:bidi w:val="0"/>
              <w:spacing w:before="0" w:after="283"/>
              <w:jc w:val="left"/>
              <w:rPr>
                <w:b/>
              </w:rPr>
            </w:pPr>
            <w:r>
              <w:rPr>
                <w:b/>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Attributable to owners of the Company</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206,970</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(38,855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836,310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(133,482</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earnings/(loss) per share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3.22</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(0.64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13.27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(2.22</w:t>
            </w:r>
          </w:p>
        </w:tc>
        <w:tc>
          <w:tcPr>
            <w:tcW w:w="163" w:type="dxa"/>
            <w:tcBorders/>
            <w:vAlign w:val="bottom"/>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earnings/(loss) per share</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2.83</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(0.82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12.73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(2.22</w:t>
            </w:r>
          </w:p>
        </w:tc>
        <w:tc>
          <w:tcPr>
            <w:tcW w:w="163" w:type="dxa"/>
            <w:tcBorders/>
            <w:shd w:fill="CCEEFF" w:val="clear"/>
            <w:vAlign w:val="bottom"/>
          </w:tcPr>
          <w:p>
            <w:pPr>
              <w:pStyle w:val="TableContents"/>
              <w:bidi w:val="0"/>
              <w:spacing w:before="0" w:after="283"/>
              <w:jc w:val="left"/>
              <w:rPr/>
            </w:pPr>
            <w:r>
              <w:rPr/>
              <w:t>) </w:t>
            </w:r>
          </w:p>
        </w:tc>
      </w:tr>
      <w:tr>
        <w:trPr>
          <w:trHeight w:val="240" w:hRule="atLeast"/>
        </w:trPr>
        <w:tc>
          <w:tcPr>
            <w:tcW w:w="5417" w:type="dxa"/>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83" w:type="dxa"/>
            <w:gridSpan w:val="4"/>
            <w:tcBorders/>
            <w:vAlign w:val="center"/>
          </w:tcPr>
          <w:p>
            <w:pPr>
              <w:pStyle w:val="TableContents"/>
              <w:bidi w:val="0"/>
              <w:spacing w:before="0" w:after="283"/>
              <w:jc w:val="left"/>
              <w:rPr>
                <w:sz w:val="4"/>
                <w:szCs w:val="4"/>
              </w:rPr>
            </w:pPr>
            <w:r>
              <w:rPr>
                <w:sz w:val="4"/>
                <w:szCs w:val="4"/>
              </w:rPr>
            </w:r>
          </w:p>
        </w:tc>
        <w:tc>
          <w:tcPr>
            <w:tcW w:w="1191" w:type="dxa"/>
            <w:gridSpan w:val="4"/>
            <w:tcBorders/>
            <w:vAlign w:val="center"/>
          </w:tcPr>
          <w:p>
            <w:pPr>
              <w:pStyle w:val="TableContents"/>
              <w:bidi w:val="0"/>
              <w:spacing w:before="0" w:after="283"/>
              <w:jc w:val="left"/>
              <w:rPr>
                <w:sz w:val="4"/>
                <w:szCs w:val="4"/>
              </w:rPr>
            </w:pPr>
            <w:r>
              <w:rPr>
                <w:sz w:val="4"/>
                <w:szCs w:val="4"/>
              </w:rPr>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Comprehensive Income or (Loss)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4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206,970</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(38,855</w:t>
            </w:r>
          </w:p>
        </w:tc>
        <w:tc>
          <w:tcPr>
            <w:tcW w:w="155"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836,310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(133,482</w:t>
            </w:r>
          </w:p>
        </w:tc>
        <w:tc>
          <w:tcPr>
            <w:tcW w:w="163" w:type="dxa"/>
            <w:tcBorders/>
            <w:shd w:fill="CCEEFF" w:val="clear"/>
            <w:vAlign w:val="bottom"/>
          </w:tcPr>
          <w:p>
            <w:pPr>
              <w:pStyle w:val="TableContents"/>
              <w:bidi w:val="0"/>
              <w:spacing w:before="0" w:after="283"/>
              <w:jc w:val="left"/>
              <w:rPr>
                <w:b/>
              </w:rPr>
            </w:pPr>
            <w:r>
              <w:rPr>
                <w:b/>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income/(loss)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4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Items that may be reclassified subsequently to profit or (loss):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417"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translating foreign operations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4,859</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(1,399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7,917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(1,474</w:t>
            </w:r>
          </w:p>
        </w:tc>
        <w:tc>
          <w:tcPr>
            <w:tcW w:w="163" w:type="dxa"/>
            <w:tcBorders/>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income/(loss) for the period, net of tax</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4,859</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(1,399</w:t>
            </w:r>
          </w:p>
        </w:tc>
        <w:tc>
          <w:tcPr>
            <w:tcW w:w="155" w:type="dxa"/>
            <w:tcBorders/>
            <w:shd w:fill="CCEEFF" w:val="clear"/>
            <w:vAlign w:val="bottom"/>
          </w:tcPr>
          <w:p>
            <w:pPr>
              <w:pStyle w:val="TableContents"/>
              <w:bidi w:val="0"/>
              <w:spacing w:before="0" w:after="283"/>
              <w:jc w:val="left"/>
              <w:rPr>
                <w:b/>
              </w:rPr>
            </w:pPr>
            <w:r>
              <w:rPr>
                <w:b/>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7,917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(1,474</w:t>
            </w:r>
          </w:p>
        </w:tc>
        <w:tc>
          <w:tcPr>
            <w:tcW w:w="163" w:type="dxa"/>
            <w:tcBorders/>
            <w:shd w:fill="CCEEFF" w:val="clear"/>
            <w:vAlign w:val="bottom"/>
          </w:tcPr>
          <w:p>
            <w:pPr>
              <w:pStyle w:val="TableContents"/>
              <w:bidi w:val="0"/>
              <w:spacing w:before="0" w:after="283"/>
              <w:jc w:val="left"/>
              <w:rPr>
                <w:b/>
              </w:rPr>
            </w:pPr>
            <w:r>
              <w:rPr>
                <w:b/>
              </w:rPr>
              <w:t>) </w:t>
            </w:r>
          </w:p>
        </w:tc>
      </w:tr>
      <w:tr>
        <w:trPr/>
        <w:tc>
          <w:tcPr>
            <w:tcW w:w="5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income/(loss) for the period, net of tax</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211,829</w:t>
            </w:r>
          </w:p>
        </w:tc>
        <w:tc>
          <w:tcPr>
            <w:tcW w:w="1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(40,254</w:t>
            </w:r>
          </w:p>
        </w:tc>
        <w:tc>
          <w:tcPr>
            <w:tcW w:w="155"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844,227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(134,956</w:t>
            </w:r>
          </w:p>
        </w:tc>
        <w:tc>
          <w:tcPr>
            <w:tcW w:w="163" w:type="dxa"/>
            <w:tcBorders/>
            <w:vAlign w:val="bottom"/>
          </w:tcPr>
          <w:p>
            <w:pPr>
              <w:pStyle w:val="TableContents"/>
              <w:bidi w:val="0"/>
              <w:spacing w:before="0" w:after="283"/>
              <w:jc w:val="left"/>
              <w:rPr>
                <w:b/>
              </w:rPr>
            </w:pPr>
            <w:r>
              <w:rPr>
                <w:b/>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Attributable to owners of the Company</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211,829</w:t>
            </w:r>
          </w:p>
        </w:tc>
        <w:tc>
          <w:tcPr>
            <w:tcW w:w="1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(40,254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844,227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(134,956</w:t>
            </w:r>
          </w:p>
        </w:tc>
        <w:tc>
          <w:tcPr>
            <w:tcW w:w="163" w:type="dxa"/>
            <w:tcBorders/>
            <w:shd w:fill="CCEEFF" w:val="clear"/>
            <w:vAlign w:val="bottom"/>
          </w:tcPr>
          <w:p>
            <w:pPr>
              <w:pStyle w:val="TableContents"/>
              <w:bidi w:val="0"/>
              <w:spacing w:before="0" w:after="283"/>
              <w:jc w:val="left"/>
              <w:rPr/>
            </w:pPr>
            <w:r>
              <w:rPr/>
              <w:t>) </w:t>
            </w:r>
          </w:p>
        </w:tc>
      </w:tr>
      <w:tr>
        <w:trPr/>
        <w:tc>
          <w:tcPr>
            <w:tcW w:w="541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3"/>
        <w:gridCol w:w="141"/>
        <w:gridCol w:w="60"/>
        <w:gridCol w:w="982"/>
        <w:gridCol w:w="60"/>
        <w:gridCol w:w="141"/>
        <w:gridCol w:w="81"/>
        <w:gridCol w:w="1348"/>
        <w:gridCol w:w="159"/>
      </w:tblGrid>
      <w:tr>
        <w:trPr/>
        <w:tc>
          <w:tcPr>
            <w:tcW w:w="723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 xml:space="preserve">Ascendis Pharma A/S </w:t>
              <w:br/>
              <w:t>Unaudited Condensed Consolidated Statements of</w:t>
            </w:r>
          </w:p>
          <w:p>
            <w:pPr>
              <w:pStyle w:val="TableContents"/>
              <w:bidi w:val="0"/>
              <w:spacing w:before="0" w:after="20"/>
              <w:jc w:val="left"/>
              <w:rPr>
                <w:rFonts w:ascii="Times New Roman" w:hAnsi="Times New Roman"/>
                <w:b/>
                <w:sz w:val="16"/>
              </w:rPr>
            </w:pPr>
            <w:r>
              <w:rPr>
                <w:rFonts w:ascii="Times New Roman" w:hAnsi="Times New Roman"/>
                <w:b/>
                <w:sz w:val="16"/>
              </w:rPr>
              <w:t xml:space="preserve">Financial Position </w:t>
              <w:br/>
              <w:t>(In EUR’000s)</w:t>
            </w:r>
          </w:p>
        </w:tc>
        <w:tc>
          <w:tcPr>
            <w:tcW w:w="141"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3,680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3,710</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135,685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146,479</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associates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30,479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32,526</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26,489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10,870</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699,276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895,609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193,585</w:t>
            </w:r>
          </w:p>
        </w:tc>
        <w:tc>
          <w:tcPr>
            <w:tcW w:w="159"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310,576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301,533</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206,505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141,333</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1,993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1,781</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15,604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14,582</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Prepayments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43,473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33,715</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812,260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616,041</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1,390,411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1,108,985</w:t>
            </w:r>
          </w:p>
        </w:tc>
        <w:tc>
          <w:tcPr>
            <w:tcW w:w="159"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2,286,020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1,302,570</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8,885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8,322</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Distributable equity</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1,427,606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(171,143</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1,436,491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(162,821</w:t>
            </w:r>
          </w:p>
        </w:tc>
        <w:tc>
          <w:tcPr>
            <w:tcW w:w="159" w:type="dxa"/>
            <w:tcBorders/>
            <w:vAlign w:val="bottom"/>
          </w:tcPr>
          <w:p>
            <w:pPr>
              <w:pStyle w:val="TableContents"/>
              <w:bidi w:val="0"/>
              <w:spacing w:before="0" w:after="283"/>
              <w:jc w:val="left"/>
              <w:rPr>
                <w:b/>
              </w:rPr>
            </w:pPr>
            <w:r>
              <w:rPr>
                <w:b/>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384,642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385,254</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1,123</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9,623</w:t>
            </w:r>
          </w:p>
        </w:tc>
        <w:tc>
          <w:tcPr>
            <w:tcW w:w="159"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384,642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396,000</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4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3" w:type="dxa"/>
            <w:tcBorders/>
            <w:shd w:fill="CCEEFF" w:val="clear"/>
            <w:vAlign w:val="bottom"/>
          </w:tcPr>
          <w:p>
            <w:pPr>
              <w:pStyle w:val="TableContents"/>
              <w:bidi w:val="0"/>
              <w:spacing w:before="0" w:after="0"/>
              <w:jc w:val="left"/>
              <w:rPr>
                <w:rFonts w:ascii="Times New Roman" w:hAnsi="Times New Roman"/>
                <w:b/>
                <w:i/>
                <w:sz w:val="20"/>
              </w:rPr>
            </w:pPr>
            <w:r>
              <w:rPr>
                <w:rFonts w:ascii="Times New Roman" w:hAnsi="Times New Roman"/>
                <w:b/>
                <w:i/>
                <w:sz w:val="20"/>
              </w:rPr>
              <w:t>Convertible notes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429,391</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256,231</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685,622</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current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4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65,432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57,141</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2,776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4,944</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 and accrued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103,920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90,657</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58,690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58,204</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12,662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pPr>
            <w:r>
              <w:rPr/>
              <w:t>6,427</w:t>
            </w:r>
          </w:p>
        </w:tc>
        <w:tc>
          <w:tcPr>
            <w:tcW w:w="159" w:type="dxa"/>
            <w:tcBorders/>
            <w:vAlign w:val="bottom"/>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221,407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pPr>
            <w:r>
              <w:rPr/>
              <w:t>166,396</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464,887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383,769</w:t>
            </w:r>
          </w:p>
        </w:tc>
        <w:tc>
          <w:tcPr>
            <w:tcW w:w="159"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464,887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1,069,391</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849,529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283"/>
              <w:jc w:val="right"/>
              <w:rPr>
                <w:b/>
              </w:rPr>
            </w:pPr>
            <w:r>
              <w:rPr>
                <w:b/>
              </w:rPr>
              <w:t>1,465,391</w:t>
            </w:r>
          </w:p>
        </w:tc>
        <w:tc>
          <w:tcPr>
            <w:tcW w:w="159" w:type="dxa"/>
            <w:tcBorders/>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4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2,286,020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283"/>
              <w:jc w:val="right"/>
              <w:rPr>
                <w:b/>
              </w:rPr>
            </w:pPr>
            <w:r>
              <w:rPr>
                <w:b/>
              </w:rPr>
              <w:t>1,302,570</w:t>
            </w:r>
          </w:p>
        </w:tc>
        <w:tc>
          <w:tcPr>
            <w:tcW w:w="159" w:type="dxa"/>
            <w:tcBorders/>
            <w:shd w:fill="CCEEFF" w:val="clear"/>
            <w:vAlign w:val="bottom"/>
          </w:tcPr>
          <w:p>
            <w:pPr>
              <w:pStyle w:val="TableContents"/>
              <w:bidi w:val="0"/>
              <w:spacing w:before="0" w:after="283"/>
              <w:jc w:val="left"/>
              <w:rPr/>
            </w:pPr>
            <w:r>
              <w:rPr/>
              <w:t> </w:t>
            </w:r>
          </w:p>
        </w:tc>
      </w:tr>
      <w:tr>
        <w:trPr/>
        <w:tc>
          <w:tcPr>
            <w:tcW w:w="723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4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76"/>
        <w:gridCol w:w="139"/>
        <w:gridCol w:w="60"/>
        <w:gridCol w:w="878"/>
        <w:gridCol w:w="155"/>
        <w:gridCol w:w="100"/>
        <w:gridCol w:w="60"/>
        <w:gridCol w:w="878"/>
        <w:gridCol w:w="159"/>
      </w:tblGrid>
      <w:tr>
        <w:trPr/>
        <w:tc>
          <w:tcPr>
            <w:tcW w:w="7776"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 xml:space="preserve">Ascendis Pharma A/S </w:t>
              <w:br/>
              <w:t>Unaudited Condensed Consolidated Statements of Cash</w:t>
            </w:r>
          </w:p>
          <w:p>
            <w:pPr>
              <w:pStyle w:val="TableContents"/>
              <w:bidi w:val="0"/>
              <w:spacing w:before="0" w:after="20"/>
              <w:jc w:val="left"/>
              <w:rPr>
                <w:rFonts w:ascii="Times New Roman" w:hAnsi="Times New Roman"/>
                <w:b/>
                <w:sz w:val="16"/>
              </w:rPr>
            </w:pPr>
            <w:r>
              <w:rPr>
                <w:rFonts w:ascii="Times New Roman" w:hAnsi="Times New Roman"/>
                <w:b/>
                <w:sz w:val="16"/>
              </w:rPr>
              <w:t xml:space="preserve">Flows </w:t>
              <w:br/>
              <w:t>(In EUR’000s)</w:t>
            </w:r>
          </w:p>
        </w:tc>
        <w:tc>
          <w:tcPr>
            <w:tcW w:w="139" w:type="dxa"/>
            <w:tcBorders/>
            <w:vAlign w:val="bottom"/>
          </w:tcPr>
          <w:p>
            <w:pPr>
              <w:pStyle w:val="TableContents"/>
              <w:bidi w:val="0"/>
              <w:spacing w:before="0" w:after="283"/>
              <w:jc w:val="left"/>
              <w:rPr/>
            </w:pPr>
            <w:r>
              <w:rPr/>
              <w:t>  </w:t>
            </w:r>
          </w:p>
        </w:tc>
        <w:tc>
          <w:tcPr>
            <w:tcW w:w="21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836,310</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(133,482</w:t>
            </w:r>
          </w:p>
        </w:tc>
        <w:tc>
          <w:tcPr>
            <w:tcW w:w="159" w:type="dxa"/>
            <w:tcBorders/>
            <w:vAlign w:val="bottom"/>
          </w:tcPr>
          <w:p>
            <w:pPr>
              <w:pStyle w:val="TableContents"/>
              <w:bidi w:val="0"/>
              <w:spacing w:before="0" w:after="283"/>
              <w:jc w:val="left"/>
              <w:rPr>
                <w:b/>
              </w:rPr>
            </w:pPr>
            <w:r>
              <w:rPr>
                <w:b/>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finance income</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(9,347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(83,912</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finance expenses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66,292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77,803</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(gain)/loss on disposal of property, plant and equipment</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income taxes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(654,393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4,909</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non-cash items: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Non-cash consideration relating to revenue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(3,112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(2,214</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(profit)/loss of associates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6,415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(22,482</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59,964</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55,580</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8,789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8,853</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7,508</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(9,044</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(7,772</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(61,050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50,047</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Prepayments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(9,487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(6,801</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(3,291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(3,455</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 accrued expenses and other liabilities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8,659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(25,558</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50,369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65,536</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generated from/(used in) operations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287,095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(15,440</w:t>
            </w:r>
          </w:p>
        </w:tc>
        <w:tc>
          <w:tcPr>
            <w:tcW w:w="159" w:type="dxa"/>
            <w:tcBorders/>
            <w:vAlign w:val="bottom"/>
          </w:tcPr>
          <w:p>
            <w:pPr>
              <w:pStyle w:val="TableContents"/>
              <w:bidi w:val="0"/>
              <w:spacing w:before="0" w:after="283"/>
              <w:jc w:val="left"/>
              <w:rPr>
                <w:b/>
              </w:rPr>
            </w:pPr>
            <w:r>
              <w:rPr>
                <w:b/>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 received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9,347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7,603</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expenses paid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(17,115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(9,689</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received/(paid)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(5,366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(4,128</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from/(used in) operating activities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273,961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(21,654</w:t>
            </w:r>
          </w:p>
        </w:tc>
        <w:tc>
          <w:tcPr>
            <w:tcW w:w="159" w:type="dxa"/>
            <w:tcBorders/>
            <w:vAlign w:val="bottom"/>
          </w:tcPr>
          <w:p>
            <w:pPr>
              <w:pStyle w:val="TableContents"/>
              <w:bidi w:val="0"/>
              <w:spacing w:before="0" w:after="283"/>
              <w:jc w:val="left"/>
              <w:rPr>
                <w:b/>
              </w:rPr>
            </w:pPr>
            <w:r>
              <w:rPr>
                <w:b/>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Payments received under finance leases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1,341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intangible assets and property, plant and equipment</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(10,948</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(5,041</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from/(used in) investing activities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(9,607</w:t>
            </w:r>
          </w:p>
        </w:tc>
        <w:tc>
          <w:tcPr>
            <w:tcW w:w="155" w:type="dxa"/>
            <w:tcBorders/>
            <w:vAlign w:val="bottom"/>
          </w:tcPr>
          <w:p>
            <w:pPr>
              <w:pStyle w:val="TableContents"/>
              <w:bidi w:val="0"/>
              <w:spacing w:before="0" w:after="283"/>
              <w:jc w:val="left"/>
              <w:rPr>
                <w:b/>
              </w:rPr>
            </w:pPr>
            <w:r>
              <w:rPr>
                <w:b/>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(5,041</w:t>
            </w:r>
          </w:p>
        </w:tc>
        <w:tc>
          <w:tcPr>
            <w:tcW w:w="159" w:type="dxa"/>
            <w:tcBorders/>
            <w:vAlign w:val="bottom"/>
          </w:tcPr>
          <w:p>
            <w:pPr>
              <w:pStyle w:val="TableContents"/>
              <w:bidi w:val="0"/>
              <w:spacing w:before="0" w:after="283"/>
              <w:jc w:val="left"/>
              <w:rPr>
                <w:b/>
              </w:rPr>
            </w:pPr>
            <w:r>
              <w:rPr>
                <w:b/>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borrowings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(16,720</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(8,553</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warrants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50,086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26,302</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Costs of capital increase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treasury shares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(103,412</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(17,396</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Payment of withholding taxes under stock incentive programs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(12,781</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(11,396</w:t>
            </w:r>
          </w:p>
        </w:tc>
        <w:tc>
          <w:tcPr>
            <w:tcW w:w="159" w:type="dxa"/>
            <w:tcBorders/>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from/(used in) financing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(82,952</w:t>
            </w:r>
          </w:p>
        </w:tc>
        <w:tc>
          <w:tcPr>
            <w:tcW w:w="155"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(11,043</w:t>
            </w:r>
          </w:p>
        </w:tc>
        <w:tc>
          <w:tcPr>
            <w:tcW w:w="159" w:type="dxa"/>
            <w:tcBorders/>
            <w:shd w:fill="CCEEFF" w:val="clear"/>
            <w:vAlign w:val="bottom"/>
          </w:tcPr>
          <w:p>
            <w:pPr>
              <w:pStyle w:val="TableContents"/>
              <w:bidi w:val="0"/>
              <w:spacing w:before="0" w:after="283"/>
              <w:jc w:val="left"/>
              <w:rPr>
                <w:b/>
              </w:rPr>
            </w:pPr>
            <w:r>
              <w:rPr>
                <w:b/>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Increase/(decrease) in cash and cash equivalents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181,402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(37,738</w:t>
            </w:r>
          </w:p>
        </w:tc>
        <w:tc>
          <w:tcPr>
            <w:tcW w:w="159" w:type="dxa"/>
            <w:tcBorders/>
            <w:vAlign w:val="bottom"/>
          </w:tcPr>
          <w:p>
            <w:pPr>
              <w:pStyle w:val="TableContents"/>
              <w:bidi w:val="0"/>
              <w:spacing w:before="0" w:after="283"/>
              <w:jc w:val="left"/>
              <w:rPr>
                <w:b/>
              </w:rPr>
            </w:pPr>
            <w:r>
              <w:rPr>
                <w:b/>
              </w:rPr>
              <w:t>) </w:t>
            </w:r>
          </w:p>
        </w:tc>
      </w:tr>
      <w:tr>
        <w:trPr/>
        <w:tc>
          <w:tcPr>
            <w:tcW w:w="7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January 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616,041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559,543</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balances held in foreign currencies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14,817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(27,759</w:t>
            </w:r>
          </w:p>
        </w:tc>
        <w:tc>
          <w:tcPr>
            <w:tcW w:w="159" w:type="dxa"/>
            <w:tcBorders/>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7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June 30</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812,260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494,046</w:t>
            </w:r>
          </w:p>
        </w:tc>
        <w:tc>
          <w:tcPr>
            <w:tcW w:w="159" w:type="dxa"/>
            <w:tcBorders/>
            <w:shd w:fill="CCEEFF" w:val="clear"/>
            <w:vAlign w:val="bottom"/>
          </w:tcPr>
          <w:p>
            <w:pPr>
              <w:pStyle w:val="TableContents"/>
              <w:bidi w:val="0"/>
              <w:spacing w:before="0" w:after="283"/>
              <w:jc w:val="left"/>
              <w:rPr/>
            </w:pPr>
            <w:r>
              <w:rPr/>
              <w:t> </w:t>
            </w:r>
          </w:p>
        </w:tc>
      </w:tr>
      <w:tr>
        <w:trPr/>
        <w:tc>
          <w:tcPr>
            <w:tcW w:w="7776"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Non-IFRS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information prepared in accordance with IFRS Accounting Standards (“IFRS”) as issued by the International Accounting Standards Board and as adopted by the European Union, this press release contains certain non-IFRS financial measures, including Non-IFRS Operating Profit/(Loss), Non-IFRS Net Profit/(Loss), Non-IFRS operating profit/(loss) margin, and Non-IFRS diluted earnings per share (“Non-IFRS Diluted EPS”). These non-IFRS measures are provided as supplemental information and should be considered in addition to, and not as a substitute for or superior to, the comparable measures prepared in accordance with IFRS. Management believes these non-IFRS measures support management’s, analysts’ and investors’ overall understanding of the Company’s underlying financial performance and trends and facilitate comparisons among current and past periods. </w:t>
      </w:r>
    </w:p>
    <w:p>
      <w:pPr>
        <w:pStyle w:val="TextBody"/>
        <w:bidi w:val="0"/>
        <w:spacing w:before="240" w:after="0"/>
        <w:jc w:val="left"/>
        <w:rPr>
          <w:rFonts w:ascii="Times New Roman" w:hAnsi="Times New Roman"/>
          <w:sz w:val="20"/>
        </w:rPr>
      </w:pPr>
      <w:r>
        <w:rPr>
          <w:rFonts w:ascii="Times New Roman" w:hAnsi="Times New Roman"/>
          <w:sz w:val="20"/>
        </w:rPr>
        <w:t xml:space="preserve">Since non-IFRS measures do not have standardized definitions and meanings, they may differ from the non-IFRS measures used by other companies, which reduces their usefulness as comparative financial measures. Because of these limitations, you should consider these adjusted financial measures alongside other IFRS financial measures. Because these non-IFRS measures are not prepared in accordance with IFRS, they should not be viewed as superior to IFRS reported measures, nor should they be used on their own or as replacements for the IFRS financial information included in this press release. Additionally, our non-IFRS measures may differ from similarly labeled measures used by other companies due to variations in calculation methods or the size and nature of adjusted items. Investors should note that several of the items excluded from these non-IFRS measures have been recognized in prior periods and may continue to be recognized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reports Non-IFRS Operating Profit/(Loss), Non-IFRS Net Profit/(Loss), Non-IFRS operating profit/(loss) margin and Non-IFRS Diluted EPS as non-IFRS measures, which exclude the following specified items: </w:t>
      </w:r>
    </w:p>
    <w:p>
      <w:pPr>
        <w:pStyle w:val="TextBody"/>
        <w:bidi w:val="0"/>
        <w:spacing w:before="120" w:after="0"/>
        <w:jc w:val="left"/>
        <w:rPr>
          <w:rFonts w:ascii="Times New Roman" w:hAnsi="Times New Roman"/>
          <w:sz w:val="20"/>
        </w:rPr>
      </w:pPr>
      <w:r>
        <w:rPr>
          <w:rFonts w:ascii="Times New Roman" w:hAnsi="Times New Roman"/>
          <w:sz w:val="20"/>
        </w:rPr>
        <w:t xml:space="preserve">(i) Share-based compensation costs. Although share-based compensation is a recurring expense, the Company excludes it from non-IFRS measures because the amount and timing of recognition depend on the value of the underlying equity instruments, which can fluctuate based on factors unrelated to the Company’s operating performance during the period. </w:t>
      </w:r>
    </w:p>
    <w:p>
      <w:pPr>
        <w:pStyle w:val="TextBody"/>
        <w:bidi w:val="0"/>
        <w:spacing w:before="120" w:after="0"/>
        <w:jc w:val="left"/>
        <w:rPr>
          <w:rFonts w:ascii="Times New Roman" w:hAnsi="Times New Roman"/>
          <w:sz w:val="20"/>
        </w:rPr>
      </w:pPr>
      <w:r>
        <w:rPr>
          <w:rFonts w:ascii="Times New Roman" w:hAnsi="Times New Roman"/>
          <w:sz w:val="20"/>
        </w:rPr>
        <w:t xml:space="preserve">(ii) Other operating income from sale of PRV. The Company excludes income recognized from the sale of its PRV because it does not reflect the Company’s ongoing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(iii) Share of (profit)/loss of associates. The Company excludes its share of the profit or loss of equity-method investees because these amounts are not within the control of the Company and do not reflect the Company’s core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(iv) Remeasurement (gain)/loss of derivative liabilities. The Company excludes the fair-value remeasurement of derivative liabilities associated with its convertible notes because these amounts depend on movements in the Company’s share price and other market inputs and are not indicative of the Company’s underlying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(v) Remeasurement (gain)/loss of royalty funding liabilities. The Company excludes gains and losses arising from the remeasurement of royalty funding liabilities as these amounts are driven by changes in estimates of future royalty payment obligations under the Company’s royalty funding agreements and do not reflect the Company’s underlying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(vi) Recognition of previously unrecognized deferred tax assets. The Company excludes the one-time recognition of previously unrecognized deferred tax assets because this item reflects a reassessment of the recoverability of historical tax attributes rather than the Company’s current period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Income taxes related to the foregoing items are adjusted accordingly, considering the individual impact of each item, the relevant tax jurisdiction, applicable tax rates, and the deductibility of the item. </w:t>
      </w:r>
    </w:p>
    <w:p>
      <w:pPr>
        <w:pStyle w:val="TextBody"/>
        <w:bidi w:val="0"/>
        <w:spacing w:before="240" w:after="0"/>
        <w:jc w:val="left"/>
        <w:rPr>
          <w:rFonts w:ascii="Times New Roman" w:hAnsi="Times New Roman"/>
          <w:sz w:val="20"/>
        </w:rPr>
      </w:pPr>
      <w:r>
        <w:rPr>
          <w:rFonts w:ascii="Times New Roman" w:hAnsi="Times New Roman"/>
          <w:sz w:val="20"/>
        </w:rPr>
        <w:t xml:space="preserve">For further details regarding valuation of derivative liabilities, and the recognition of previously unrecognized deferred tax assets, please refer to “Note 3 – Significant Accounting Judgements and Estimates,” contained in our Interim Report on Form 6-K, for the period ended June 30, 2026 and “Note 3 – Significant Accounting Judgements and Estimates,” contained in our Annual Report on Form 20-F,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most directly comparable IFRS measures to Non-IFRS Operating Profit/(Loss), Non-IFRS Net Profit/(Loss) and Non-IFRS Diluted EPS.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12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028700"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28700" cy="361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PRESS RELEASE</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Reconciliation of unaudited IFRS to Non-IFRS Financial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EUR’000s, except number of shares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44"/>
        <w:gridCol w:w="60"/>
        <w:gridCol w:w="1170"/>
        <w:gridCol w:w="283"/>
        <w:gridCol w:w="90"/>
        <w:gridCol w:w="60"/>
        <w:gridCol w:w="1170"/>
        <w:gridCol w:w="350"/>
        <w:gridCol w:w="90"/>
        <w:gridCol w:w="59"/>
        <w:gridCol w:w="1170"/>
        <w:gridCol w:w="283"/>
        <w:gridCol w:w="90"/>
        <w:gridCol w:w="60"/>
        <w:gridCol w:w="1170"/>
        <w:gridCol w:w="359"/>
      </w:tblGrid>
      <w:tr>
        <w:trPr/>
        <w:tc>
          <w:tcPr>
            <w:tcW w:w="359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5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833" w:type="dxa"/>
            <w:gridSpan w:val="6"/>
            <w:tcBorders/>
            <w:vAlign w:val="bottom"/>
          </w:tcPr>
          <w:p>
            <w:pPr>
              <w:pStyle w:val="TableContents"/>
              <w:bidi w:val="0"/>
              <w:spacing w:before="0" w:after="283"/>
              <w:jc w:val="center"/>
              <w:rPr>
                <w:b/>
              </w:rPr>
            </w:pPr>
            <w:r>
              <w:rPr>
                <w:b/>
              </w:rPr>
              <w:t>Three Months Ended</w:t>
              <w:br/>
              <w:t>June 30,</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2" w:type="dxa"/>
            <w:gridSpan w:val="6"/>
            <w:tcBorders/>
            <w:vAlign w:val="bottom"/>
          </w:tcPr>
          <w:p>
            <w:pPr>
              <w:pStyle w:val="TableContents"/>
              <w:bidi w:val="0"/>
              <w:spacing w:before="0" w:after="283"/>
              <w:jc w:val="center"/>
              <w:rPr>
                <w:b/>
              </w:rPr>
            </w:pPr>
            <w:r>
              <w:rPr>
                <w:b/>
              </w:rPr>
              <w:t>Six Months Ended</w:t>
              <w:br/>
              <w:t>June 30,</w:t>
            </w:r>
          </w:p>
        </w:tc>
        <w:tc>
          <w:tcPr>
            <w:tcW w:w="359"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IFRS operating profit/(loss)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220,465</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(52,951</w:t>
            </w:r>
          </w:p>
        </w:tc>
        <w:tc>
          <w:tcPr>
            <w:tcW w:w="350" w:type="dxa"/>
            <w:tcBorders/>
            <w:shd w:fill="CCEEFF" w:val="clear"/>
            <w:vAlign w:val="bottom"/>
          </w:tcPr>
          <w:p>
            <w:pPr>
              <w:pStyle w:val="TableContents"/>
              <w:bidi w:val="0"/>
              <w:spacing w:before="0" w:after="283"/>
              <w:jc w:val="left"/>
              <w:rPr>
                <w:b/>
              </w:rPr>
            </w:pPr>
            <w:r>
              <w:rPr>
                <w:b/>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245,277</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(157,164</w:t>
            </w:r>
          </w:p>
        </w:tc>
        <w:tc>
          <w:tcPr>
            <w:tcW w:w="359" w:type="dxa"/>
            <w:tcBorders/>
            <w:shd w:fill="CCEEFF" w:val="clear"/>
            <w:vAlign w:val="bottom"/>
          </w:tcPr>
          <w:p>
            <w:pPr>
              <w:pStyle w:val="TableContents"/>
              <w:bidi w:val="0"/>
              <w:spacing w:before="0" w:after="283"/>
              <w:jc w:val="left"/>
              <w:rPr>
                <w:b/>
              </w:rPr>
            </w:pPr>
            <w:r>
              <w:rPr>
                <w:b/>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costs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29,608</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30,022</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59,964</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55,580</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from sale of PRV</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(158,067</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(158,067</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Total non-IFRS adjustments to operating profit/(loss)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(128,459</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30,022</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(98,103</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55,580</w:t>
            </w:r>
          </w:p>
        </w:tc>
        <w:tc>
          <w:tcPr>
            <w:tcW w:w="359"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Non-IFRS operating profit/(loss)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92,006</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(22,929</w:t>
            </w:r>
          </w:p>
        </w:tc>
        <w:tc>
          <w:tcPr>
            <w:tcW w:w="350" w:type="dxa"/>
            <w:tcBorders/>
            <w:shd w:fill="CCEEFF" w:val="clear"/>
            <w:vAlign w:val="bottom"/>
          </w:tcPr>
          <w:p>
            <w:pPr>
              <w:pStyle w:val="TableContents"/>
              <w:bidi w:val="0"/>
              <w:spacing w:before="0" w:after="283"/>
              <w:jc w:val="left"/>
              <w:rPr>
                <w:b/>
              </w:rPr>
            </w:pPr>
            <w:r>
              <w:rPr>
                <w:b/>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147,174</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(101,584</w:t>
            </w:r>
          </w:p>
        </w:tc>
        <w:tc>
          <w:tcPr>
            <w:tcW w:w="359" w:type="dxa"/>
            <w:tcBorders/>
            <w:shd w:fill="CCEEFF" w:val="clear"/>
            <w:vAlign w:val="bottom"/>
          </w:tcPr>
          <w:p>
            <w:pPr>
              <w:pStyle w:val="TableContents"/>
              <w:bidi w:val="0"/>
              <w:spacing w:before="0" w:after="283"/>
              <w:jc w:val="left"/>
              <w:rPr>
                <w:b/>
              </w:rPr>
            </w:pPr>
            <w:r>
              <w:rPr>
                <w:b/>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IFRS operating profit/(loss) margin (%)1</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65.0</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(33.5</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41.9</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(60.7</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Non-IFRS operating profit/(loss) margin (%)1</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27.1</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(14.5</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25.1</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(39.2</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IFRS Net profit/(loss)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206,970</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(38,855</w:t>
            </w:r>
          </w:p>
        </w:tc>
        <w:tc>
          <w:tcPr>
            <w:tcW w:w="350" w:type="dxa"/>
            <w:tcBorders/>
            <w:vAlign w:val="bottom"/>
          </w:tcPr>
          <w:p>
            <w:pPr>
              <w:pStyle w:val="TableContents"/>
              <w:bidi w:val="0"/>
              <w:spacing w:before="0" w:after="283"/>
              <w:jc w:val="left"/>
              <w:rPr>
                <w:b/>
              </w:rPr>
            </w:pPr>
            <w:r>
              <w:rPr>
                <w:b/>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836,310</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(133,482</w:t>
            </w:r>
          </w:p>
        </w:tc>
        <w:tc>
          <w:tcPr>
            <w:tcW w:w="359" w:type="dxa"/>
            <w:tcBorders/>
            <w:vAlign w:val="bottom"/>
          </w:tcPr>
          <w:p>
            <w:pPr>
              <w:pStyle w:val="TableContents"/>
              <w:bidi w:val="0"/>
              <w:spacing w:before="0" w:after="283"/>
              <w:jc w:val="left"/>
              <w:rPr>
                <w:b/>
              </w:rPr>
            </w:pPr>
            <w:r>
              <w:rPr>
                <w:b/>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costs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29,608</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30,022</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59,964</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55,580</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 from sale of PRV</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(158,067</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(158,067</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(profit)/loss of associates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(3,836</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4,097</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6,415</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(22,482</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(gain)/loss of derivative liabilities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(8,313</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11,998</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25,938</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35,909</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(gain)/loss of royalty funding liabilities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(1,399</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(1,399</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Recognition of previously unrecognized deferred tax assets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(24,622</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(704,209</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effects of adjustments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19,524</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(1,641</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11,901</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(3,281</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Total non-IFRS adjustments to net profit/(loss)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(145,706</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43,077</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(758,058</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64,327</w:t>
            </w:r>
          </w:p>
        </w:tc>
        <w:tc>
          <w:tcPr>
            <w:tcW w:w="359" w:type="dxa"/>
            <w:tcBorders/>
            <w:vAlign w:val="bottom"/>
          </w:tcPr>
          <w:p>
            <w:pPr>
              <w:pStyle w:val="TableContents"/>
              <w:bidi w:val="0"/>
              <w:spacing w:before="0" w:after="283"/>
              <w:jc w:val="left"/>
              <w:rPr/>
            </w:pPr>
            <w:r>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Non-IFRS net profit/(loss)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61,264</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4,222</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78,252</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(69,155</w:t>
            </w:r>
          </w:p>
        </w:tc>
        <w:tc>
          <w:tcPr>
            <w:tcW w:w="359" w:type="dxa"/>
            <w:tcBorders/>
            <w:shd w:fill="CCEEFF" w:val="clear"/>
            <w:vAlign w:val="bottom"/>
          </w:tcPr>
          <w:p>
            <w:pPr>
              <w:pStyle w:val="TableContents"/>
              <w:bidi w:val="0"/>
              <w:spacing w:before="0" w:after="283"/>
              <w:jc w:val="left"/>
              <w:rPr>
                <w:b/>
              </w:rPr>
            </w:pPr>
            <w:r>
              <w:rPr>
                <w:b/>
              </w:rPr>
              <w:t>) </w:t>
            </w:r>
          </w:p>
        </w:tc>
      </w:tr>
      <w:tr>
        <w:trPr/>
        <w:tc>
          <w:tcPr>
            <w:tcW w:w="3597"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Net profit/(loss) per diluted share: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IFRS adjusted for dilution effects (as reported)2</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2.83</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(0.82</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12.73</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(2.22</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IFRS excluding dilution effects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3.03</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(0.61</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12.73</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(2.22</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per share impact of total non-IFRS adjustments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(2.13</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0.67</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(11.54</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1.07</w:t>
            </w:r>
          </w:p>
        </w:tc>
        <w:tc>
          <w:tcPr>
            <w:tcW w:w="359" w:type="dxa"/>
            <w:tcBorders/>
            <w:shd w:fill="CCEEFF" w:val="clear"/>
            <w:vAlign w:val="bottom"/>
          </w:tcPr>
          <w:p>
            <w:pPr>
              <w:pStyle w:val="TableContents"/>
              <w:bidi w:val="0"/>
              <w:spacing w:before="0" w:after="283"/>
              <w:jc w:val="left"/>
              <w:rPr/>
            </w:pPr>
            <w:r>
              <w:rPr/>
              <w:t> </w:t>
            </w:r>
          </w:p>
        </w:tc>
      </w:tr>
      <w:tr>
        <w:trPr/>
        <w:tc>
          <w:tcPr>
            <w:tcW w:w="3597" w:type="dxa"/>
            <w:tcBorders/>
          </w:tcPr>
          <w:p>
            <w:pPr>
              <w:pStyle w:val="TableContents"/>
              <w:bidi w:val="0"/>
              <w:spacing w:before="0" w:after="0"/>
              <w:jc w:val="left"/>
              <w:rPr>
                <w:rFonts w:ascii="Times New Roman" w:hAnsi="Times New Roman"/>
                <w:sz w:val="20"/>
              </w:rPr>
            </w:pPr>
            <w:r>
              <w:rPr>
                <w:rFonts w:ascii="Times New Roman" w:hAnsi="Times New Roman"/>
                <w:sz w:val="20"/>
              </w:rPr>
              <w:t>Non-IFRS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0.90</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0.07</w:t>
            </w:r>
          </w:p>
        </w:tc>
        <w:tc>
          <w:tcPr>
            <w:tcW w:w="3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1.19</w:t>
            </w:r>
          </w:p>
        </w:tc>
        <w:tc>
          <w:tcPr>
            <w:tcW w:w="2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(1.15</w:t>
            </w:r>
          </w:p>
        </w:tc>
        <w:tc>
          <w:tcPr>
            <w:tcW w:w="359" w:type="dxa"/>
            <w:tcBorders/>
            <w:vAlign w:val="bottom"/>
          </w:tcPr>
          <w:p>
            <w:pPr>
              <w:pStyle w:val="TableContents"/>
              <w:bidi w:val="0"/>
              <w:spacing w:before="0" w:after="283"/>
              <w:jc w:val="left"/>
              <w:rPr/>
            </w:pPr>
            <w:r>
              <w:rPr/>
              <w:t>) </w:t>
            </w:r>
          </w:p>
        </w:tc>
      </w:tr>
      <w:tr>
        <w:trPr/>
        <w:tc>
          <w:tcPr>
            <w:tcW w:w="3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used in diluted per share calculation (IFRS and non-IFRS):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68,320,412</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63,911,374</w:t>
            </w:r>
          </w:p>
        </w:tc>
        <w:tc>
          <w:tcPr>
            <w:tcW w:w="3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65,678,245</w:t>
            </w:r>
          </w:p>
        </w:tc>
        <w:tc>
          <w:tcPr>
            <w:tcW w:w="28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60,237,774</w:t>
            </w:r>
          </w:p>
        </w:tc>
        <w:tc>
          <w:tcPr>
            <w:tcW w:w="3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Defined as either IFRS or non-IFRS operating profit/(loss) divided by total revenue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Dilutive effects relate to impact from convertible notes (interests, foreign exchange gain/(loss), and fair value adjustments on derivative liabilities, net of tax) of 13.8 million and 13.5 million for the three months ended June 30, 2026 and 2025, respectively. There were no dilution impact for the six months ended June 30, 2026 and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4170</Words>
  <Characters>23773</Characters>
  <CharactersWithSpaces>29395</CharactersWithSpaces>
  <Paragraphs>2507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